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2523E5">
      <w:pPr>
        <w:ind w:firstLine="1261" w:firstLineChars="450"/>
        <w:jc w:val="both"/>
        <w:rPr>
          <w:b/>
          <w:bCs/>
          <w:sz w:val="28"/>
          <w:szCs w:val="22"/>
        </w:rPr>
      </w:pPr>
    </w:p>
    <w:p w14:paraId="18C77A41">
      <w:pPr>
        <w:ind w:firstLine="1261" w:firstLineChars="450"/>
        <w:jc w:val="both"/>
        <w:rPr>
          <w:b/>
          <w:bCs/>
          <w:sz w:val="28"/>
          <w:szCs w:val="22"/>
        </w:rPr>
      </w:pPr>
    </w:p>
    <w:p w14:paraId="308F721D">
      <w:pPr>
        <w:ind w:firstLine="1261" w:firstLineChars="450"/>
        <w:jc w:val="both"/>
        <w:rPr>
          <w:b/>
          <w:bCs/>
          <w:sz w:val="28"/>
          <w:szCs w:val="22"/>
        </w:rPr>
      </w:pPr>
      <w:r>
        <w:rPr>
          <w:b/>
          <w:bCs/>
          <w:sz w:val="28"/>
          <w:szCs w:val="22"/>
        </w:rPr>
        <w:t>Milk Supply Area and Revenue Analysis Dashboard</w:t>
      </w:r>
    </w:p>
    <w:p w14:paraId="0DBB4A26">
      <w:pPr>
        <w:jc w:val="center"/>
        <w:rPr>
          <w:b/>
          <w:bCs/>
        </w:rPr>
      </w:pPr>
      <w:r>
        <w:rPr>
          <w:b/>
          <w:bCs/>
        </w:rPr>
        <w:t>Pradnya .S. Patil</w:t>
      </w:r>
    </w:p>
    <w:p w14:paraId="71EF941E">
      <w:pPr>
        <w:jc w:val="center"/>
        <w:rPr>
          <w:b/>
          <w:bCs/>
        </w:rPr>
      </w:pPr>
      <w:r>
        <w:fldChar w:fldCharType="begin"/>
      </w:r>
      <w:r>
        <w:instrText xml:space="preserve"> HYPERLINK "mailto:diuupatil9890@gmail.com" </w:instrText>
      </w:r>
      <w:r>
        <w:fldChar w:fldCharType="separate"/>
      </w:r>
      <w:r>
        <w:rPr>
          <w:rStyle w:val="17"/>
          <w:b/>
          <w:bCs/>
        </w:rPr>
        <w:t>diuupatil9890@gmail.com</w:t>
      </w:r>
      <w:r>
        <w:rPr>
          <w:rStyle w:val="17"/>
          <w:b/>
          <w:bCs/>
        </w:rPr>
        <w:fldChar w:fldCharType="end"/>
      </w:r>
    </w:p>
    <w:p w14:paraId="5ADEA215">
      <w:pPr>
        <w:jc w:val="center"/>
        <w:rPr>
          <w:b/>
          <w:bCs/>
        </w:rPr>
      </w:pPr>
      <w:r>
        <w:rPr>
          <w:b/>
          <w:bCs/>
        </w:rPr>
        <w:t>R. C. Patel College Of Engineering And Polytechnic</w:t>
      </w:r>
    </w:p>
    <w:p w14:paraId="1168CFA3">
      <w:pPr>
        <w:rPr>
          <w:b/>
          <w:bCs/>
        </w:rPr>
      </w:pPr>
    </w:p>
    <w:p w14:paraId="06D9EA75">
      <w:pPr>
        <w:rPr>
          <w:b/>
          <w:bCs/>
        </w:rPr>
      </w:pPr>
    </w:p>
    <w:p w14:paraId="49DEE276">
      <w:pPr>
        <w:rPr>
          <w:b/>
          <w:bCs/>
          <w:sz w:val="28"/>
          <w:szCs w:val="22"/>
        </w:rPr>
      </w:pPr>
      <w:r>
        <w:rPr>
          <w:b/>
          <w:bCs/>
          <w:sz w:val="28"/>
          <w:szCs w:val="22"/>
        </w:rPr>
        <w:t>Abstract :</w:t>
      </w:r>
    </w:p>
    <w:p w14:paraId="3F25BE5F">
      <w:pPr>
        <w:pStyle w:val="18"/>
        <w:keepNext w:val="0"/>
        <w:keepLines w:val="0"/>
        <w:widowControl/>
        <w:suppressLineNumbers w:val="0"/>
        <w:spacing w:beforeAutospacing="1"/>
      </w:pPr>
      <w:r>
        <w:t xml:space="preserve">This research focuses on the development and implementation of a </w:t>
      </w:r>
      <w:r>
        <w:rPr>
          <w:rStyle w:val="19"/>
        </w:rPr>
        <w:t>Milk Supply Area and Revenue Analysis Dashboard</w:t>
      </w:r>
      <w:r>
        <w:t xml:space="preserve"> to provide a comprehensive and data-driven understanding of milk distribution and financial performance across different geographic regions. The dashboard systematically collects and processes milk supply data from multiple locations, enabling the identification of milk-providing areas and the quantification of their contribution in terms of volume percentage. In addition, it integrates revenue data to evaluate the monetary value generated by each area, offering a clear correlation between milk supply quantity and economic return.</w:t>
      </w:r>
    </w:p>
    <w:p w14:paraId="3EBA5EC4">
      <w:pPr>
        <w:pStyle w:val="18"/>
        <w:keepNext w:val="0"/>
        <w:keepLines w:val="0"/>
        <w:widowControl/>
        <w:suppressLineNumbers w:val="0"/>
        <w:spacing w:beforeAutospacing="1"/>
      </w:pPr>
      <w:r>
        <w:t>Advanced data visualization techniques are used to present key performance indicators such as area-wise milk contribution, percentage distribution, total revenue, and comparative regional performance. The dashboard allows stakeholders to easily monitor trends, identify high-performing and low-performing areas, and detect imbalances or inefficiencies in the milk supply chain. By transforming raw data into meaningful visual insights, the system supports better planning, pricing strategies, resource allocation, and operational decision-making.</w:t>
      </w:r>
    </w:p>
    <w:p w14:paraId="767B996A">
      <w:pPr>
        <w:pStyle w:val="18"/>
        <w:keepNext w:val="0"/>
        <w:keepLines w:val="0"/>
        <w:widowControl/>
        <w:suppressLineNumbers w:val="0"/>
        <w:spacing w:beforeAutospacing="1"/>
      </w:pPr>
      <w:r>
        <w:t>The proposed dashboard enhances transparency and efficiency in dairy supply management by enabling real-time or periodic analysis of supply and revenue patterns. It serves as a valuable decision-support tool for dairy cooperatives, milk collection centers, and management authorities to optimize distribution networks, improve profitability, and ensure sustainable growth of the dairy industry.</w:t>
      </w:r>
    </w:p>
    <w:p w14:paraId="70E71374">
      <w:pPr>
        <w:rPr>
          <w:b/>
          <w:bCs/>
          <w:sz w:val="28"/>
          <w:szCs w:val="22"/>
        </w:rPr>
      </w:pPr>
    </w:p>
    <w:p w14:paraId="301C59EC">
      <w:pPr>
        <w:rPr>
          <w:b/>
          <w:bCs/>
          <w:sz w:val="28"/>
          <w:szCs w:val="22"/>
        </w:rPr>
      </w:pPr>
    </w:p>
    <w:p w14:paraId="51F925A6">
      <w:pPr>
        <w:rPr>
          <w:rFonts w:hint="default"/>
          <w:b/>
          <w:bCs/>
          <w:sz w:val="28"/>
          <w:szCs w:val="22"/>
          <w:lang w:val="en-IN"/>
        </w:rPr>
      </w:pPr>
      <w:r>
        <w:rPr>
          <w:rFonts w:hint="default"/>
          <w:b/>
          <w:bCs/>
          <w:sz w:val="28"/>
          <w:szCs w:val="22"/>
          <w:lang w:val="en-IN"/>
        </w:rPr>
        <w:t>Keywords:</w:t>
      </w:r>
    </w:p>
    <w:p w14:paraId="53363ECC">
      <w:pPr>
        <w:pStyle w:val="18"/>
        <w:keepNext w:val="0"/>
        <w:keepLines w:val="0"/>
        <w:widowControl/>
        <w:suppressLineNumbers w:val="0"/>
        <w:spacing w:beforeAutospacing="1"/>
      </w:pPr>
      <w:r>
        <w:t>Milk Supply Analysis, Revenue Analysis, Dashboard, Data Visualization, Dairy Industry, Supply Chain Management</w:t>
      </w:r>
    </w:p>
    <w:p w14:paraId="5D980FBC">
      <w:pPr>
        <w:rPr>
          <w:rFonts w:hint="default"/>
          <w:b/>
          <w:bCs/>
          <w:sz w:val="28"/>
          <w:szCs w:val="22"/>
          <w:lang w:val="en-IN"/>
        </w:rPr>
      </w:pPr>
    </w:p>
    <w:p w14:paraId="4C12FE01">
      <w:pPr>
        <w:rPr>
          <w:rFonts w:hint="default"/>
          <w:b/>
          <w:bCs/>
          <w:sz w:val="28"/>
          <w:szCs w:val="22"/>
          <w:lang w:val="en-IN"/>
        </w:rPr>
      </w:pPr>
      <w:r>
        <w:rPr>
          <w:rFonts w:hint="default"/>
          <w:b/>
          <w:bCs/>
          <w:sz w:val="28"/>
          <w:szCs w:val="22"/>
          <w:lang w:val="en-IN"/>
        </w:rPr>
        <w:t>Objective:</w:t>
      </w:r>
    </w:p>
    <w:p w14:paraId="7C888444">
      <w:pPr>
        <w:numPr>
          <w:ilvl w:val="0"/>
          <w:numId w:val="1"/>
        </w:numPr>
        <w:rPr>
          <w:rFonts w:hint="default"/>
          <w:lang w:val="en-IN"/>
        </w:rPr>
      </w:pPr>
      <w:r>
        <w:rPr>
          <w:rFonts w:hint="default"/>
          <w:lang w:val="en-IN"/>
        </w:rPr>
        <w:t>To compile and structure the data related to milk procurement from various geographic regions</w:t>
      </w:r>
    </w:p>
    <w:p w14:paraId="4FE3457D">
      <w:pPr>
        <w:rPr>
          <w:rFonts w:hint="default"/>
          <w:lang w:val="en-IN"/>
        </w:rPr>
      </w:pPr>
      <w:r>
        <w:rPr>
          <w:rFonts w:hint="default"/>
          <w:lang w:val="en-IN"/>
        </w:rPr>
        <w:t>2. To identify the regions that supply milk and determine their share in the total supply of milk</w:t>
      </w:r>
    </w:p>
    <w:p w14:paraId="2EEBA020">
      <w:pPr>
        <w:rPr>
          <w:rFonts w:hint="default"/>
          <w:lang w:val="en-IN"/>
        </w:rPr>
      </w:pPr>
      <w:r>
        <w:rPr>
          <w:rFonts w:hint="default"/>
          <w:lang w:val="en-IN"/>
        </w:rPr>
        <w:t>3. To determine the percentage-wise distribution of milk supply from various regions</w:t>
      </w:r>
    </w:p>
    <w:p w14:paraId="5FAB9D00">
      <w:pPr>
        <w:rPr>
          <w:rFonts w:hint="default"/>
          <w:lang w:val="en-IN"/>
        </w:rPr>
      </w:pPr>
      <w:r>
        <w:rPr>
          <w:rFonts w:hint="default"/>
          <w:lang w:val="en-IN"/>
        </w:rPr>
        <w:t>4. To determine the revenue generated from milk supply in various regions</w:t>
      </w:r>
    </w:p>
    <w:p w14:paraId="38FB76CD">
      <w:pPr>
        <w:rPr>
          <w:rFonts w:hint="default"/>
          <w:lang w:val="en-IN"/>
        </w:rPr>
      </w:pPr>
      <w:r>
        <w:rPr>
          <w:rFonts w:hint="default"/>
          <w:lang w:val="en-IN"/>
        </w:rPr>
        <w:t>5. To develop an interactive dashboard for the representation of data</w:t>
      </w:r>
    </w:p>
    <w:p w14:paraId="3F747AE9">
      <w:pPr>
        <w:rPr>
          <w:rFonts w:hint="default"/>
          <w:lang w:val="en-IN"/>
        </w:rPr>
      </w:pPr>
      <w:r>
        <w:rPr>
          <w:rFonts w:hint="default"/>
          <w:lang w:val="en-IN"/>
        </w:rPr>
        <w:t>6. To facilitate effective planning and decision-making in dairy supply chain management</w:t>
      </w:r>
    </w:p>
    <w:p w14:paraId="6E777FC1">
      <w:pPr>
        <w:rPr>
          <w:rFonts w:hint="default"/>
          <w:lang w:val="en-IN"/>
        </w:rPr>
      </w:pPr>
    </w:p>
    <w:p w14:paraId="53539B7A">
      <w:pPr>
        <w:rPr>
          <w:rFonts w:hint="default"/>
          <w:lang w:val="en-IN"/>
        </w:rPr>
      </w:pPr>
    </w:p>
    <w:p w14:paraId="5A16D8A5">
      <w:pPr>
        <w:rPr>
          <w:rFonts w:hint="default"/>
          <w:b/>
          <w:bCs/>
          <w:sz w:val="28"/>
          <w:szCs w:val="22"/>
          <w:lang w:val="en-IN"/>
        </w:rPr>
      </w:pPr>
      <w:r>
        <w:rPr>
          <w:rFonts w:hint="default"/>
          <w:b/>
          <w:bCs/>
          <w:sz w:val="28"/>
          <w:szCs w:val="22"/>
          <w:lang w:val="en-IN"/>
        </w:rPr>
        <w:t>Introduction:</w:t>
      </w:r>
    </w:p>
    <w:p w14:paraId="22FADDB1">
      <w:pPr>
        <w:rPr>
          <w:rFonts w:hint="default" w:ascii="Times New Roman" w:hAnsi="Times New Roman" w:eastAsia="SimSun" w:cs="Times New Roman"/>
          <w:sz w:val="24"/>
          <w:szCs w:val="24"/>
        </w:rPr>
      </w:pPr>
      <w:r>
        <w:rPr>
          <w:rFonts w:hint="default" w:ascii="Times New Roman" w:hAnsi="Times New Roman" w:eastAsia="SimSun"/>
          <w:sz w:val="24"/>
          <w:szCs w:val="24"/>
        </w:rPr>
        <w:t>The Milk Supply Area and Revenue Analysis Dashboard gives a complete overview of milk procurement and sales performance for various milk supply areas. The dashboard helps users track milk supply volumes, analyze revenue performance, and compare regional performance. The dashboard combines milk supply data with revenue data to facilitate decision-making and enable users to identify areas of excellence and areas of poor performance to optimize supply chain efficiency and profitability.</w:t>
      </w:r>
    </w:p>
    <w:p w14:paraId="5BF382DB">
      <w:pPr>
        <w:rPr>
          <w:rFonts w:hint="default" w:ascii="Times New Roman" w:hAnsi="Times New Roman" w:eastAsia="SimSun" w:cs="Times New Roman"/>
          <w:sz w:val="24"/>
          <w:szCs w:val="24"/>
          <w:lang w:val="en-IN"/>
        </w:rPr>
      </w:pPr>
      <w:r>
        <w:drawing>
          <wp:inline distT="0" distB="0" distL="114300" distR="114300">
            <wp:extent cx="4845685" cy="2827020"/>
            <wp:effectExtent l="0" t="0" r="635" b="762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76FC88D7">
      <w:pPr>
        <w:pStyle w:val="18"/>
        <w:keepNext w:val="0"/>
        <w:keepLines w:val="0"/>
        <w:widowControl/>
        <w:suppressLineNumbers w:val="0"/>
        <w:spacing w:beforeAutospacing="1"/>
      </w:pPr>
    </w:p>
    <w:p w14:paraId="7A99CBAB">
      <w:pPr>
        <w:pStyle w:val="18"/>
        <w:keepNext w:val="0"/>
        <w:keepLines w:val="0"/>
        <w:widowControl/>
        <w:suppressLineNumbers w:val="0"/>
        <w:spacing w:beforeAutospacing="1"/>
      </w:pPr>
    </w:p>
    <w:p w14:paraId="352EDD98">
      <w:pPr>
        <w:rPr>
          <w:b/>
          <w:bCs/>
          <w:sz w:val="28"/>
          <w:szCs w:val="28"/>
          <w:lang w:val="en-US"/>
        </w:rPr>
      </w:pPr>
      <w:r>
        <w:rPr>
          <w:b/>
          <w:bCs/>
          <w:sz w:val="28"/>
          <w:szCs w:val="28"/>
          <w:lang w:val="en-US"/>
        </w:rPr>
        <w:t>Data Collection:</w:t>
      </w:r>
    </w:p>
    <w:p w14:paraId="0B4FFA6F">
      <w:pPr>
        <w:rPr>
          <w:lang w:val="en-US"/>
        </w:rPr>
      </w:pPr>
      <w:r>
        <w:drawing>
          <wp:inline distT="0" distB="0" distL="0" distR="0">
            <wp:extent cx="5731510" cy="2413000"/>
            <wp:effectExtent l="0" t="0" r="13970" b="10160"/>
            <wp:docPr id="2083167155" name="Picture 1" descr="Forms response chart. Question title:   Average Quantity of Milk Supplied or Purchased per Day  . Number of responses: 52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167155" name="Picture 1" descr="Forms response chart. Question title:   Average Quantity of Milk Supplied or Purchased per Day  . Number of responses: 52 respons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731510" cy="2413000"/>
                    </a:xfrm>
                    <a:prstGeom prst="rect">
                      <a:avLst/>
                    </a:prstGeom>
                    <a:noFill/>
                    <a:ln>
                      <a:noFill/>
                    </a:ln>
                  </pic:spPr>
                </pic:pic>
              </a:graphicData>
            </a:graphic>
          </wp:inline>
        </w:drawing>
      </w:r>
    </w:p>
    <w:p w14:paraId="13BF6D8B">
      <w:pPr>
        <w:rPr>
          <w:lang w:val="en-US"/>
        </w:rPr>
      </w:pPr>
      <w:r>
        <w:drawing>
          <wp:inline distT="0" distB="0" distL="0" distR="0">
            <wp:extent cx="5731510" cy="2413000"/>
            <wp:effectExtent l="0" t="0" r="13970" b="10160"/>
            <wp:docPr id="2012940378" name="Picture 2" descr="Forms response chart. Question title:  Type of Milk Supplied / Purchased. Number of responses: 52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940378" name="Picture 2" descr="Forms response chart. Question title:  Type of Milk Supplied / Purchased. Number of responses: 52 respons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731510" cy="2413000"/>
                    </a:xfrm>
                    <a:prstGeom prst="rect">
                      <a:avLst/>
                    </a:prstGeom>
                    <a:noFill/>
                    <a:ln>
                      <a:noFill/>
                    </a:ln>
                  </pic:spPr>
                </pic:pic>
              </a:graphicData>
            </a:graphic>
          </wp:inline>
        </w:drawing>
      </w:r>
    </w:p>
    <w:p w14:paraId="4BF48DA4">
      <w:pPr>
        <w:rPr>
          <w:lang w:val="en-US"/>
        </w:rPr>
      </w:pPr>
      <w:r>
        <w:drawing>
          <wp:inline distT="0" distB="0" distL="0" distR="0">
            <wp:extent cx="5731510" cy="2413000"/>
            <wp:effectExtent l="0" t="0" r="13970" b="10160"/>
            <wp:docPr id="573950394" name="Picture 3" descr="Forms response chart. Question title:  Average Price of Milk per Liter (₹)  . Number of responses: 52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950394" name="Picture 3" descr="Forms response chart. Question title:  Average Price of Milk per Liter (₹)  . Number of responses: 52 respons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731510" cy="2413000"/>
                    </a:xfrm>
                    <a:prstGeom prst="rect">
                      <a:avLst/>
                    </a:prstGeom>
                    <a:noFill/>
                    <a:ln>
                      <a:noFill/>
                    </a:ln>
                  </pic:spPr>
                </pic:pic>
              </a:graphicData>
            </a:graphic>
          </wp:inline>
        </w:drawing>
      </w:r>
    </w:p>
    <w:p w14:paraId="58550802">
      <w:pPr>
        <w:rPr>
          <w:lang w:val="en-US"/>
        </w:rPr>
      </w:pPr>
      <w:r>
        <w:drawing>
          <wp:inline distT="0" distB="0" distL="0" distR="0">
            <wp:extent cx="5731510" cy="2413000"/>
            <wp:effectExtent l="0" t="0" r="13970" b="10160"/>
            <wp:docPr id="641038608" name="Picture 4" descr="Forms response chart. Question title:   Mode of Payment Received / Made  . Number of responses: 52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038608" name="Picture 4" descr="Forms response chart. Question title:   Mode of Payment Received / Made  . Number of responses: 52 respons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731510" cy="2413000"/>
                    </a:xfrm>
                    <a:prstGeom prst="rect">
                      <a:avLst/>
                    </a:prstGeom>
                    <a:noFill/>
                    <a:ln>
                      <a:noFill/>
                    </a:ln>
                  </pic:spPr>
                </pic:pic>
              </a:graphicData>
            </a:graphic>
          </wp:inline>
        </w:drawing>
      </w:r>
    </w:p>
    <w:p w14:paraId="6A2490E3">
      <w:pPr>
        <w:rPr>
          <w:lang w:val="en-US"/>
        </w:rPr>
      </w:pPr>
    </w:p>
    <w:p w14:paraId="4B0A7D3F">
      <w:pPr>
        <w:rPr>
          <w:lang w:val="en-US"/>
        </w:rPr>
      </w:pPr>
    </w:p>
    <w:p w14:paraId="1D96F9C9">
      <w:pPr>
        <w:rPr>
          <w:lang w:val="en-US"/>
        </w:rPr>
      </w:pPr>
    </w:p>
    <w:p w14:paraId="364D4633">
      <w:pPr>
        <w:rPr>
          <w:lang w:val="en-US"/>
        </w:rPr>
      </w:pPr>
    </w:p>
    <w:p w14:paraId="369686CF">
      <w:pPr>
        <w:rPr>
          <w:b/>
          <w:bCs/>
          <w:sz w:val="28"/>
          <w:szCs w:val="28"/>
          <w:lang w:val="en-US"/>
        </w:rPr>
      </w:pPr>
      <w:r>
        <w:rPr>
          <w:b/>
          <w:bCs/>
          <w:sz w:val="28"/>
          <w:szCs w:val="28"/>
          <w:lang w:val="en-US"/>
        </w:rPr>
        <w:t>Hypothesis:</w:t>
      </w:r>
    </w:p>
    <w:p w14:paraId="60EA12E0">
      <w:pPr>
        <w:rPr>
          <w:b/>
          <w:bCs/>
          <w:sz w:val="28"/>
          <w:szCs w:val="28"/>
          <w:lang w:val="en-US"/>
        </w:rPr>
      </w:pPr>
    </w:p>
    <w:p w14:paraId="0E743846">
      <w:pPr>
        <w:rPr>
          <w:rFonts w:hint="default" w:ascii="Calibri" w:hAnsi="Calibri" w:cs="Calibri"/>
          <w:b/>
          <w:bCs/>
          <w:color w:val="1F1F1F"/>
          <w:spacing w:val="3"/>
          <w:shd w:val="clear" w:color="auto" w:fill="FFFFFF"/>
        </w:rPr>
      </w:pPr>
    </w:p>
    <w:p w14:paraId="135F002B">
      <w:pPr>
        <w:rPr>
          <w:rFonts w:hint="default" w:ascii="Calibri" w:hAnsi="Calibri" w:cs="Calibri"/>
          <w:b/>
          <w:bCs/>
          <w:color w:val="1F1F1F"/>
          <w:spacing w:val="3"/>
          <w:shd w:val="clear" w:color="auto" w:fill="FFFFFF"/>
        </w:rPr>
      </w:pPr>
    </w:p>
    <w:p w14:paraId="1DE75D7C">
      <w:pPr>
        <w:rPr>
          <w:rFonts w:hint="default" w:ascii="Calibri" w:hAnsi="Calibri" w:cs="Calibri"/>
          <w:b/>
          <w:bCs/>
          <w:color w:val="1F1F1F"/>
          <w:spacing w:val="3"/>
          <w:shd w:val="clear" w:color="auto" w:fill="FFFFFF"/>
        </w:rPr>
      </w:pPr>
      <w:r>
        <w:rPr>
          <w:rFonts w:hint="default" w:ascii="Calibri" w:hAnsi="Calibri" w:cs="Calibri"/>
          <w:b/>
          <w:bCs/>
          <w:color w:val="1F1F1F"/>
          <w:spacing w:val="3"/>
          <w:shd w:val="clear" w:color="auto" w:fill="FFFFFF"/>
        </w:rPr>
        <w:t>H1: Average Quantity of Milk Supplied or Purchased per Day</w:t>
      </w:r>
    </w:p>
    <w:tbl>
      <w:tblPr>
        <w:tblStyle w:val="21"/>
        <w:tblW w:w="93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1332"/>
        <w:gridCol w:w="1332"/>
        <w:gridCol w:w="1332"/>
        <w:gridCol w:w="1332"/>
        <w:gridCol w:w="1332"/>
        <w:gridCol w:w="1332"/>
      </w:tblGrid>
      <w:tr w14:paraId="2801B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332" w:type="dxa"/>
          </w:tcPr>
          <w:p w14:paraId="2CB465BD">
            <w:pPr>
              <w:spacing w:after="0" w:line="240" w:lineRule="auto"/>
              <w:rPr>
                <w:b/>
                <w:bCs/>
                <w:lang w:val="en-US"/>
              </w:rPr>
            </w:pPr>
            <w:r>
              <w:rPr>
                <w:b/>
                <w:bCs/>
                <w:lang w:val="en-US"/>
              </w:rPr>
              <w:t>Sr. No.</w:t>
            </w:r>
          </w:p>
        </w:tc>
        <w:tc>
          <w:tcPr>
            <w:tcW w:w="1332" w:type="dxa"/>
          </w:tcPr>
          <w:p w14:paraId="1FAFE1B3">
            <w:pPr>
              <w:spacing w:after="0" w:line="240" w:lineRule="auto"/>
              <w:rPr>
                <w:b/>
                <w:bCs/>
                <w:lang w:val="en-US"/>
              </w:rPr>
            </w:pPr>
            <w:r>
              <w:rPr>
                <w:b/>
                <w:bCs/>
                <w:lang w:val="en-US"/>
              </w:rPr>
              <w:t>Options</w:t>
            </w:r>
          </w:p>
        </w:tc>
        <w:tc>
          <w:tcPr>
            <w:tcW w:w="1332" w:type="dxa"/>
          </w:tcPr>
          <w:p w14:paraId="397241EE">
            <w:pPr>
              <w:spacing w:after="0" w:line="240" w:lineRule="auto"/>
              <w:rPr>
                <w:b/>
                <w:bCs/>
                <w:lang w:val="en-US"/>
              </w:rPr>
            </w:pPr>
            <w:r>
              <w:rPr>
                <w:b/>
                <w:bCs/>
                <w:lang w:val="en-US"/>
              </w:rPr>
              <w:t>Oi</w:t>
            </w:r>
          </w:p>
        </w:tc>
        <w:tc>
          <w:tcPr>
            <w:tcW w:w="1332" w:type="dxa"/>
          </w:tcPr>
          <w:p w14:paraId="6F582040">
            <w:pPr>
              <w:spacing w:after="0" w:line="240" w:lineRule="auto"/>
              <w:rPr>
                <w:b/>
                <w:bCs/>
                <w:lang w:val="en-US"/>
              </w:rPr>
            </w:pPr>
            <w:r>
              <w:rPr>
                <w:b/>
                <w:bCs/>
                <w:lang w:val="en-US"/>
              </w:rPr>
              <w:t>Ei</w:t>
            </w:r>
          </w:p>
        </w:tc>
        <w:tc>
          <w:tcPr>
            <w:tcW w:w="1332" w:type="dxa"/>
          </w:tcPr>
          <w:p w14:paraId="22DA1A75">
            <w:pPr>
              <w:spacing w:after="0" w:line="240" w:lineRule="auto"/>
              <w:rPr>
                <w:b/>
                <w:bCs/>
                <w:lang w:val="en-US"/>
              </w:rPr>
            </w:pPr>
            <w:r>
              <w:rPr>
                <w:b/>
                <w:bCs/>
                <w:lang w:val="en-US"/>
              </w:rPr>
              <w:t>Oi-Ei</w:t>
            </w:r>
          </w:p>
        </w:tc>
        <w:tc>
          <w:tcPr>
            <w:tcW w:w="1332" w:type="dxa"/>
          </w:tcPr>
          <w:p w14:paraId="2435C0DD">
            <w:pPr>
              <w:spacing w:after="0" w:line="240" w:lineRule="auto"/>
              <w:rPr>
                <w:b/>
                <w:bCs/>
                <w:vertAlign w:val="superscript"/>
                <w:lang w:val="en-US"/>
              </w:rPr>
            </w:pPr>
            <w:r>
              <w:rPr>
                <w:b/>
                <w:bCs/>
                <w:lang w:val="en-US"/>
              </w:rPr>
              <w:t>(Oi-Ei)</w:t>
            </w:r>
            <w:r>
              <w:rPr>
                <w:b/>
                <w:bCs/>
                <w:vertAlign w:val="superscript"/>
                <w:lang w:val="en-US"/>
              </w:rPr>
              <w:t>2</w:t>
            </w:r>
          </w:p>
        </w:tc>
        <w:tc>
          <w:tcPr>
            <w:tcW w:w="1332" w:type="dxa"/>
          </w:tcPr>
          <w:p w14:paraId="3D34A744">
            <w:pPr>
              <w:spacing w:after="0" w:line="240" w:lineRule="auto"/>
              <w:rPr>
                <w:b/>
                <w:bCs/>
                <w:lang w:val="en-US"/>
              </w:rPr>
            </w:pPr>
            <w:r>
              <w:rPr>
                <w:b/>
                <w:bCs/>
                <w:lang w:val="en-US"/>
              </w:rPr>
              <w:t>(Oi-Ei)</w:t>
            </w:r>
            <w:r>
              <w:rPr>
                <w:b/>
                <w:bCs/>
                <w:vertAlign w:val="superscript"/>
                <w:lang w:val="en-US"/>
              </w:rPr>
              <w:t>2</w:t>
            </w:r>
            <w:r>
              <w:rPr>
                <w:b/>
                <w:bCs/>
                <w:lang w:val="en-US"/>
              </w:rPr>
              <w:t>/Ei</w:t>
            </w:r>
          </w:p>
        </w:tc>
      </w:tr>
      <w:tr w14:paraId="7B636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32" w:type="dxa"/>
          </w:tcPr>
          <w:p w14:paraId="6425AC99">
            <w:pPr>
              <w:spacing w:after="0" w:line="240" w:lineRule="auto"/>
              <w:rPr>
                <w:lang w:val="en-US"/>
              </w:rPr>
            </w:pPr>
            <w:r>
              <w:rPr>
                <w:lang w:val="en-US"/>
              </w:rPr>
              <w:t>1</w:t>
            </w:r>
          </w:p>
        </w:tc>
        <w:tc>
          <w:tcPr>
            <w:tcW w:w="1332" w:type="dxa"/>
          </w:tcPr>
          <w:p w14:paraId="145B569B">
            <w:pPr>
              <w:spacing w:after="0" w:line="240" w:lineRule="auto"/>
              <w:rPr>
                <w:lang w:val="en-US"/>
              </w:rPr>
            </w:pPr>
            <w:r>
              <w:rPr>
                <w:rFonts w:ascii="Arial" w:hAnsi="Arial" w:cs="Arial"/>
                <w:color w:val="000000"/>
                <w:sz w:val="18"/>
                <w:szCs w:val="18"/>
                <w:shd w:val="clear" w:color="auto" w:fill="FFFFFF"/>
              </w:rPr>
              <w:t>Less than 10 liters</w:t>
            </w:r>
          </w:p>
        </w:tc>
        <w:tc>
          <w:tcPr>
            <w:tcW w:w="1332" w:type="dxa"/>
          </w:tcPr>
          <w:p w14:paraId="0F1636CD">
            <w:pPr>
              <w:spacing w:after="0" w:line="240" w:lineRule="auto"/>
              <w:rPr>
                <w:lang w:val="en-US"/>
              </w:rPr>
            </w:pPr>
            <w:r>
              <w:rPr>
                <w:lang w:val="en-US"/>
              </w:rPr>
              <w:t>11</w:t>
            </w:r>
          </w:p>
        </w:tc>
        <w:tc>
          <w:tcPr>
            <w:tcW w:w="1332" w:type="dxa"/>
          </w:tcPr>
          <w:p w14:paraId="62411CAE">
            <w:pPr>
              <w:spacing w:after="0" w:line="240" w:lineRule="auto"/>
              <w:rPr>
                <w:lang w:val="en-US"/>
              </w:rPr>
            </w:pPr>
            <w:r>
              <w:rPr>
                <w:lang w:val="en-US"/>
              </w:rPr>
              <w:t>13</w:t>
            </w:r>
          </w:p>
        </w:tc>
        <w:tc>
          <w:tcPr>
            <w:tcW w:w="1332" w:type="dxa"/>
          </w:tcPr>
          <w:p w14:paraId="76F6209D">
            <w:pPr>
              <w:spacing w:after="0" w:line="240" w:lineRule="auto"/>
              <w:rPr>
                <w:lang w:val="en-US"/>
              </w:rPr>
            </w:pPr>
            <w:r>
              <w:rPr>
                <w:lang w:val="en-US"/>
              </w:rPr>
              <w:t>-2</w:t>
            </w:r>
          </w:p>
        </w:tc>
        <w:tc>
          <w:tcPr>
            <w:tcW w:w="1332" w:type="dxa"/>
          </w:tcPr>
          <w:p w14:paraId="5B4E2C55">
            <w:pPr>
              <w:spacing w:after="0" w:line="240" w:lineRule="auto"/>
              <w:rPr>
                <w:lang w:val="en-US"/>
              </w:rPr>
            </w:pPr>
            <w:r>
              <w:rPr>
                <w:lang w:val="en-US"/>
              </w:rPr>
              <w:t>4</w:t>
            </w:r>
          </w:p>
        </w:tc>
        <w:tc>
          <w:tcPr>
            <w:tcW w:w="1332" w:type="dxa"/>
          </w:tcPr>
          <w:p w14:paraId="6107981C">
            <w:pPr>
              <w:spacing w:after="0" w:line="240" w:lineRule="auto"/>
              <w:rPr>
                <w:lang w:val="en-US"/>
              </w:rPr>
            </w:pPr>
            <w:r>
              <w:rPr>
                <w:lang w:val="en-US"/>
              </w:rPr>
              <w:t>0.30</w:t>
            </w:r>
          </w:p>
        </w:tc>
      </w:tr>
      <w:tr w14:paraId="4B494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332" w:type="dxa"/>
          </w:tcPr>
          <w:p w14:paraId="2F2E5F79">
            <w:pPr>
              <w:spacing w:after="0" w:line="240" w:lineRule="auto"/>
              <w:rPr>
                <w:lang w:val="en-US"/>
              </w:rPr>
            </w:pPr>
            <w:r>
              <w:rPr>
                <w:lang w:val="en-US"/>
              </w:rPr>
              <w:t>2</w:t>
            </w:r>
          </w:p>
        </w:tc>
        <w:tc>
          <w:tcPr>
            <w:tcW w:w="1332" w:type="dxa"/>
          </w:tcPr>
          <w:p w14:paraId="211167DF">
            <w:pPr>
              <w:spacing w:after="0" w:line="240" w:lineRule="auto"/>
              <w:rPr>
                <w:lang w:val="en-US"/>
              </w:rPr>
            </w:pPr>
            <w:r>
              <w:rPr>
                <w:rFonts w:ascii="Arial" w:hAnsi="Arial" w:cs="Arial"/>
                <w:color w:val="000000"/>
                <w:sz w:val="18"/>
                <w:szCs w:val="18"/>
                <w:shd w:val="clear" w:color="auto" w:fill="FFFFFF"/>
              </w:rPr>
              <w:t>10–25 liters</w:t>
            </w:r>
          </w:p>
        </w:tc>
        <w:tc>
          <w:tcPr>
            <w:tcW w:w="1332" w:type="dxa"/>
          </w:tcPr>
          <w:p w14:paraId="33CA915B">
            <w:pPr>
              <w:spacing w:after="0" w:line="240" w:lineRule="auto"/>
              <w:rPr>
                <w:lang w:val="en-US"/>
              </w:rPr>
            </w:pPr>
            <w:r>
              <w:rPr>
                <w:lang w:val="en-US"/>
              </w:rPr>
              <w:t>24</w:t>
            </w:r>
          </w:p>
        </w:tc>
        <w:tc>
          <w:tcPr>
            <w:tcW w:w="1332" w:type="dxa"/>
          </w:tcPr>
          <w:p w14:paraId="7D372480">
            <w:pPr>
              <w:spacing w:after="0" w:line="240" w:lineRule="auto"/>
              <w:rPr>
                <w:lang w:val="en-US"/>
              </w:rPr>
            </w:pPr>
            <w:r>
              <w:rPr>
                <w:lang w:val="en-US"/>
              </w:rPr>
              <w:t>13</w:t>
            </w:r>
          </w:p>
        </w:tc>
        <w:tc>
          <w:tcPr>
            <w:tcW w:w="1332" w:type="dxa"/>
          </w:tcPr>
          <w:p w14:paraId="4780378A">
            <w:pPr>
              <w:spacing w:after="0" w:line="240" w:lineRule="auto"/>
              <w:rPr>
                <w:lang w:val="en-US"/>
              </w:rPr>
            </w:pPr>
            <w:r>
              <w:rPr>
                <w:lang w:val="en-US"/>
              </w:rPr>
              <w:t>11</w:t>
            </w:r>
          </w:p>
        </w:tc>
        <w:tc>
          <w:tcPr>
            <w:tcW w:w="1332" w:type="dxa"/>
          </w:tcPr>
          <w:p w14:paraId="1CDF787C">
            <w:pPr>
              <w:spacing w:after="0" w:line="240" w:lineRule="auto"/>
              <w:rPr>
                <w:lang w:val="en-US"/>
              </w:rPr>
            </w:pPr>
            <w:r>
              <w:rPr>
                <w:lang w:val="en-US"/>
              </w:rPr>
              <w:t>121</w:t>
            </w:r>
          </w:p>
        </w:tc>
        <w:tc>
          <w:tcPr>
            <w:tcW w:w="1332" w:type="dxa"/>
          </w:tcPr>
          <w:p w14:paraId="441DEE3C">
            <w:pPr>
              <w:spacing w:after="0" w:line="240" w:lineRule="auto"/>
              <w:rPr>
                <w:lang w:val="en-US"/>
              </w:rPr>
            </w:pPr>
            <w:r>
              <w:rPr>
                <w:lang w:val="en-US"/>
              </w:rPr>
              <w:t>9.30</w:t>
            </w:r>
          </w:p>
        </w:tc>
      </w:tr>
      <w:tr w14:paraId="3065C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332" w:type="dxa"/>
          </w:tcPr>
          <w:p w14:paraId="565C7613">
            <w:pPr>
              <w:spacing w:after="0" w:line="240" w:lineRule="auto"/>
              <w:rPr>
                <w:lang w:val="en-US"/>
              </w:rPr>
            </w:pPr>
            <w:r>
              <w:rPr>
                <w:lang w:val="en-US"/>
              </w:rPr>
              <w:t>3</w:t>
            </w:r>
          </w:p>
        </w:tc>
        <w:tc>
          <w:tcPr>
            <w:tcW w:w="1332" w:type="dxa"/>
          </w:tcPr>
          <w:p w14:paraId="342AA353">
            <w:pPr>
              <w:spacing w:after="0" w:line="240" w:lineRule="auto"/>
              <w:rPr>
                <w:lang w:val="en-US"/>
              </w:rPr>
            </w:pPr>
            <w:r>
              <w:rPr>
                <w:rFonts w:ascii="Arial" w:hAnsi="Arial" w:cs="Arial"/>
                <w:color w:val="000000"/>
                <w:sz w:val="18"/>
                <w:szCs w:val="18"/>
                <w:shd w:val="clear" w:color="auto" w:fill="FFFFFF"/>
              </w:rPr>
              <w:t>26–50 liters</w:t>
            </w:r>
          </w:p>
        </w:tc>
        <w:tc>
          <w:tcPr>
            <w:tcW w:w="1332" w:type="dxa"/>
          </w:tcPr>
          <w:p w14:paraId="62C87A9F">
            <w:pPr>
              <w:spacing w:after="0" w:line="240" w:lineRule="auto"/>
              <w:rPr>
                <w:lang w:val="en-US"/>
              </w:rPr>
            </w:pPr>
            <w:r>
              <w:rPr>
                <w:lang w:val="en-US"/>
              </w:rPr>
              <w:t>15</w:t>
            </w:r>
          </w:p>
        </w:tc>
        <w:tc>
          <w:tcPr>
            <w:tcW w:w="1332" w:type="dxa"/>
          </w:tcPr>
          <w:p w14:paraId="40150CF0">
            <w:pPr>
              <w:spacing w:after="0" w:line="240" w:lineRule="auto"/>
              <w:rPr>
                <w:lang w:val="en-US"/>
              </w:rPr>
            </w:pPr>
            <w:r>
              <w:rPr>
                <w:lang w:val="en-US"/>
              </w:rPr>
              <w:t>13</w:t>
            </w:r>
          </w:p>
        </w:tc>
        <w:tc>
          <w:tcPr>
            <w:tcW w:w="1332" w:type="dxa"/>
          </w:tcPr>
          <w:p w14:paraId="029E319A">
            <w:pPr>
              <w:spacing w:after="0" w:line="240" w:lineRule="auto"/>
              <w:rPr>
                <w:lang w:val="en-US"/>
              </w:rPr>
            </w:pPr>
            <w:r>
              <w:rPr>
                <w:lang w:val="en-US"/>
              </w:rPr>
              <w:t>2</w:t>
            </w:r>
          </w:p>
        </w:tc>
        <w:tc>
          <w:tcPr>
            <w:tcW w:w="1332" w:type="dxa"/>
          </w:tcPr>
          <w:p w14:paraId="09E18F54">
            <w:pPr>
              <w:spacing w:after="0" w:line="240" w:lineRule="auto"/>
              <w:rPr>
                <w:lang w:val="en-US"/>
              </w:rPr>
            </w:pPr>
            <w:r>
              <w:rPr>
                <w:lang w:val="en-US"/>
              </w:rPr>
              <w:t>4</w:t>
            </w:r>
          </w:p>
        </w:tc>
        <w:tc>
          <w:tcPr>
            <w:tcW w:w="1332" w:type="dxa"/>
          </w:tcPr>
          <w:p w14:paraId="2D444DB4">
            <w:pPr>
              <w:spacing w:after="0" w:line="240" w:lineRule="auto"/>
              <w:rPr>
                <w:lang w:val="en-US"/>
              </w:rPr>
            </w:pPr>
            <w:r>
              <w:rPr>
                <w:lang w:val="en-US"/>
              </w:rPr>
              <w:t>0.30</w:t>
            </w:r>
          </w:p>
        </w:tc>
      </w:tr>
      <w:tr w14:paraId="29C56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32" w:type="dxa"/>
          </w:tcPr>
          <w:p w14:paraId="4BBA503E">
            <w:pPr>
              <w:spacing w:after="0" w:line="240" w:lineRule="auto"/>
              <w:rPr>
                <w:lang w:val="en-US"/>
              </w:rPr>
            </w:pPr>
            <w:r>
              <w:rPr>
                <w:lang w:val="en-US"/>
              </w:rPr>
              <w:t>4</w:t>
            </w:r>
          </w:p>
        </w:tc>
        <w:tc>
          <w:tcPr>
            <w:tcW w:w="1332" w:type="dxa"/>
          </w:tcPr>
          <w:p w14:paraId="45A544F6">
            <w:pPr>
              <w:spacing w:after="0" w:line="240" w:lineRule="auto"/>
              <w:rPr>
                <w:lang w:val="en-US"/>
              </w:rPr>
            </w:pPr>
            <w:r>
              <w:rPr>
                <w:rFonts w:ascii="Arial" w:hAnsi="Arial" w:cs="Arial"/>
                <w:color w:val="000000"/>
                <w:sz w:val="18"/>
                <w:szCs w:val="18"/>
                <w:shd w:val="clear" w:color="auto" w:fill="FFFFFF"/>
              </w:rPr>
              <w:t>More than 100 liters</w:t>
            </w:r>
          </w:p>
        </w:tc>
        <w:tc>
          <w:tcPr>
            <w:tcW w:w="1332" w:type="dxa"/>
          </w:tcPr>
          <w:p w14:paraId="705358D9">
            <w:pPr>
              <w:spacing w:after="0" w:line="240" w:lineRule="auto"/>
              <w:rPr>
                <w:lang w:val="en-US"/>
              </w:rPr>
            </w:pPr>
            <w:r>
              <w:rPr>
                <w:lang w:val="en-US"/>
              </w:rPr>
              <w:t>2</w:t>
            </w:r>
          </w:p>
        </w:tc>
        <w:tc>
          <w:tcPr>
            <w:tcW w:w="1332" w:type="dxa"/>
          </w:tcPr>
          <w:p w14:paraId="4884619C">
            <w:pPr>
              <w:spacing w:after="0" w:line="240" w:lineRule="auto"/>
              <w:rPr>
                <w:lang w:val="en-US"/>
              </w:rPr>
            </w:pPr>
            <w:r>
              <w:rPr>
                <w:lang w:val="en-US"/>
              </w:rPr>
              <w:t>13</w:t>
            </w:r>
          </w:p>
        </w:tc>
        <w:tc>
          <w:tcPr>
            <w:tcW w:w="1332" w:type="dxa"/>
          </w:tcPr>
          <w:p w14:paraId="19A1835A">
            <w:pPr>
              <w:spacing w:after="0" w:line="240" w:lineRule="auto"/>
              <w:rPr>
                <w:lang w:val="en-US"/>
              </w:rPr>
            </w:pPr>
            <w:r>
              <w:rPr>
                <w:lang w:val="en-US"/>
              </w:rPr>
              <w:t>-11</w:t>
            </w:r>
          </w:p>
        </w:tc>
        <w:tc>
          <w:tcPr>
            <w:tcW w:w="1332" w:type="dxa"/>
          </w:tcPr>
          <w:p w14:paraId="6438D9D4">
            <w:pPr>
              <w:spacing w:after="0" w:line="240" w:lineRule="auto"/>
              <w:rPr>
                <w:lang w:val="en-US"/>
              </w:rPr>
            </w:pPr>
            <w:r>
              <w:rPr>
                <w:lang w:val="en-US"/>
              </w:rPr>
              <w:t>121</w:t>
            </w:r>
          </w:p>
        </w:tc>
        <w:tc>
          <w:tcPr>
            <w:tcW w:w="1332" w:type="dxa"/>
          </w:tcPr>
          <w:p w14:paraId="74097474">
            <w:pPr>
              <w:spacing w:after="0" w:line="240" w:lineRule="auto"/>
              <w:rPr>
                <w:lang w:val="en-US"/>
              </w:rPr>
            </w:pPr>
            <w:r>
              <w:rPr>
                <w:lang w:val="en-US"/>
              </w:rPr>
              <w:t>9.30</w:t>
            </w:r>
          </w:p>
        </w:tc>
      </w:tr>
      <w:tr w14:paraId="5F4B0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332" w:type="dxa"/>
          </w:tcPr>
          <w:p w14:paraId="4078722E">
            <w:pPr>
              <w:spacing w:after="0" w:line="240" w:lineRule="auto"/>
              <w:rPr>
                <w:b/>
                <w:bCs/>
                <w:lang w:val="en-US"/>
              </w:rPr>
            </w:pPr>
            <w:r>
              <w:rPr>
                <w:b/>
                <w:bCs/>
                <w:lang w:val="en-US"/>
              </w:rPr>
              <w:t>Total</w:t>
            </w:r>
          </w:p>
        </w:tc>
        <w:tc>
          <w:tcPr>
            <w:tcW w:w="1332" w:type="dxa"/>
          </w:tcPr>
          <w:p w14:paraId="67C1319D">
            <w:pPr>
              <w:spacing w:after="0" w:line="240" w:lineRule="auto"/>
              <w:rPr>
                <w:b/>
                <w:bCs/>
                <w:lang w:val="en-US"/>
              </w:rPr>
            </w:pPr>
          </w:p>
        </w:tc>
        <w:tc>
          <w:tcPr>
            <w:tcW w:w="1332" w:type="dxa"/>
          </w:tcPr>
          <w:p w14:paraId="79994B3E">
            <w:pPr>
              <w:spacing w:after="0" w:line="240" w:lineRule="auto"/>
              <w:rPr>
                <w:b/>
                <w:bCs/>
                <w:lang w:val="en-US"/>
              </w:rPr>
            </w:pPr>
            <w:r>
              <w:rPr>
                <w:b/>
                <w:bCs/>
                <w:lang w:val="en-US"/>
              </w:rPr>
              <w:t>52</w:t>
            </w:r>
          </w:p>
        </w:tc>
        <w:tc>
          <w:tcPr>
            <w:tcW w:w="1332" w:type="dxa"/>
          </w:tcPr>
          <w:p w14:paraId="08E8895B">
            <w:pPr>
              <w:spacing w:after="0" w:line="240" w:lineRule="auto"/>
              <w:rPr>
                <w:b/>
                <w:bCs/>
                <w:lang w:val="en-US"/>
              </w:rPr>
            </w:pPr>
          </w:p>
        </w:tc>
        <w:tc>
          <w:tcPr>
            <w:tcW w:w="1332" w:type="dxa"/>
          </w:tcPr>
          <w:p w14:paraId="5BEA170A">
            <w:pPr>
              <w:spacing w:after="0" w:line="240" w:lineRule="auto"/>
              <w:rPr>
                <w:b/>
                <w:bCs/>
                <w:lang w:val="en-US"/>
              </w:rPr>
            </w:pPr>
          </w:p>
        </w:tc>
        <w:tc>
          <w:tcPr>
            <w:tcW w:w="1332" w:type="dxa"/>
          </w:tcPr>
          <w:p w14:paraId="3E82B034">
            <w:pPr>
              <w:spacing w:after="0" w:line="240" w:lineRule="auto"/>
              <w:rPr>
                <w:b/>
                <w:bCs/>
                <w:lang w:val="en-US"/>
              </w:rPr>
            </w:pPr>
          </w:p>
        </w:tc>
        <w:tc>
          <w:tcPr>
            <w:tcW w:w="1332" w:type="dxa"/>
          </w:tcPr>
          <w:p w14:paraId="36AE7F00">
            <w:pPr>
              <w:spacing w:after="0" w:line="240" w:lineRule="auto"/>
              <w:rPr>
                <w:b/>
                <w:bCs/>
                <w:lang w:val="en-US"/>
              </w:rPr>
            </w:pPr>
            <w:r>
              <w:rPr>
                <w:b/>
                <w:bCs/>
                <w:lang w:val="en-US"/>
              </w:rPr>
              <w:t>18.9</w:t>
            </w:r>
          </w:p>
        </w:tc>
      </w:tr>
    </w:tbl>
    <w:p w14:paraId="5404257D">
      <w:pPr>
        <w:rPr>
          <w:lang w:val="en-US"/>
        </w:rPr>
      </w:pPr>
    </w:p>
    <w:p w14:paraId="00A8BB5C">
      <w:pPr>
        <w:rPr>
          <w:b/>
          <w:bCs/>
          <w:lang w:val="en-US"/>
        </w:rPr>
      </w:pPr>
      <w:r>
        <w:rPr>
          <w:rFonts w:cstheme="minorHAnsi"/>
          <w:lang w:val="en-US"/>
        </w:rPr>
        <w:t>€</w:t>
      </w:r>
      <w:r>
        <w:rPr>
          <w:b/>
          <w:bCs/>
          <w:lang w:val="en-US"/>
        </w:rPr>
        <w:t>(Oi-Ei)</w:t>
      </w:r>
      <w:r>
        <w:rPr>
          <w:b/>
          <w:bCs/>
          <w:vertAlign w:val="superscript"/>
          <w:lang w:val="en-US"/>
        </w:rPr>
        <w:t>2</w:t>
      </w:r>
      <w:r>
        <w:rPr>
          <w:b/>
          <w:bCs/>
          <w:lang w:val="en-US"/>
        </w:rPr>
        <w:t>/Ei = 18.9</w:t>
      </w:r>
    </w:p>
    <w:p w14:paraId="6428A08C">
      <w:pPr>
        <w:rPr>
          <w:b/>
          <w:bCs/>
          <w:lang w:val="en-US"/>
        </w:rPr>
      </w:pPr>
      <w:r>
        <w:rPr>
          <w:b/>
          <w:bCs/>
          <w:lang w:val="en-US"/>
        </w:rPr>
        <w:t>Degree of Freedom is 5.991.</w:t>
      </w:r>
    </w:p>
    <w:p w14:paraId="765DA7EF">
      <w:pPr>
        <w:rPr>
          <w:b/>
          <w:bCs/>
          <w:lang w:val="en-US"/>
        </w:rPr>
      </w:pPr>
      <w:r>
        <w:rPr>
          <w:b/>
          <w:bCs/>
          <w:lang w:val="en-US"/>
        </w:rPr>
        <w:t>Result = 18.9 &gt; 5.991.</w:t>
      </w:r>
    </w:p>
    <w:p w14:paraId="75FD98BD">
      <w:pPr>
        <w:pStyle w:val="18"/>
        <w:keepNext w:val="0"/>
        <w:keepLines w:val="0"/>
        <w:widowControl/>
        <w:suppressLineNumbers w:val="0"/>
        <w:spacing w:beforeAutospacing="1"/>
        <w:rPr>
          <w:rFonts w:hint="default" w:ascii="Calibri" w:hAnsi="Calibri" w:cs="Calibri"/>
          <w:b/>
          <w:bCs/>
          <w:lang w:val="en-IN"/>
        </w:rPr>
      </w:pPr>
    </w:p>
    <w:p w14:paraId="5CAF6DC9">
      <w:pPr>
        <w:pStyle w:val="18"/>
        <w:keepNext w:val="0"/>
        <w:keepLines w:val="0"/>
        <w:widowControl/>
        <w:suppressLineNumbers w:val="0"/>
        <w:spacing w:beforeAutospacing="1"/>
        <w:rPr>
          <w:rFonts w:hint="default" w:ascii="Calibri" w:hAnsi="Calibri" w:cs="Calibri"/>
          <w:b/>
          <w:bCs/>
          <w:sz w:val="24"/>
          <w:szCs w:val="21"/>
          <w:lang w:val="en-IN"/>
        </w:rPr>
      </w:pPr>
    </w:p>
    <w:p w14:paraId="33E82964">
      <w:pPr>
        <w:pStyle w:val="18"/>
        <w:keepNext w:val="0"/>
        <w:keepLines w:val="0"/>
        <w:widowControl/>
        <w:suppressLineNumbers w:val="0"/>
        <w:spacing w:beforeAutospacing="1"/>
        <w:rPr>
          <w:rFonts w:hint="default" w:ascii="Calibri" w:hAnsi="Calibri" w:cs="Calibri"/>
          <w:b/>
          <w:bCs/>
          <w:sz w:val="24"/>
          <w:szCs w:val="21"/>
          <w:lang w:val="en-IN"/>
        </w:rPr>
      </w:pPr>
    </w:p>
    <w:p w14:paraId="53002CF4">
      <w:pPr>
        <w:pStyle w:val="18"/>
        <w:keepNext w:val="0"/>
        <w:keepLines w:val="0"/>
        <w:widowControl/>
        <w:suppressLineNumbers w:val="0"/>
        <w:spacing w:beforeAutospacing="1"/>
        <w:rPr>
          <w:rFonts w:hint="default" w:ascii="Calibri" w:hAnsi="Calibri" w:cs="Calibri"/>
          <w:b/>
          <w:bCs/>
          <w:sz w:val="24"/>
          <w:szCs w:val="21"/>
          <w:lang w:val="en-IN"/>
        </w:rPr>
      </w:pPr>
    </w:p>
    <w:p w14:paraId="5B8F2A7A">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rPr>
      </w:pPr>
      <w:r>
        <w:rPr>
          <w:rFonts w:hint="default" w:ascii="Calibri" w:hAnsi="Calibri" w:cs="Calibri"/>
          <w:b/>
          <w:bCs/>
          <w:sz w:val="24"/>
          <w:szCs w:val="21"/>
          <w:lang w:val="en-IN"/>
        </w:rPr>
        <w:t>H2</w:t>
      </w:r>
      <w:r>
        <w:rPr>
          <w:rFonts w:hint="default" w:ascii="Calibri" w:hAnsi="Calibri" w:cs="Calibri"/>
          <w:b/>
          <w:bCs/>
          <w:sz w:val="22"/>
          <w:szCs w:val="20"/>
          <w:lang w:val="en-IN"/>
        </w:rPr>
        <w:t>.</w:t>
      </w:r>
      <w:r>
        <w:rPr>
          <w:rFonts w:hint="default" w:ascii="Calibri" w:hAnsi="Calibri" w:eastAsia="docs-Roboto" w:cs="Calibri"/>
          <w:b/>
          <w:bCs/>
          <w:i w:val="0"/>
          <w:iCs w:val="0"/>
          <w:caps w:val="0"/>
          <w:color w:val="1F1F1F"/>
          <w:spacing w:val="0"/>
          <w:sz w:val="24"/>
          <w:szCs w:val="24"/>
          <w:shd w:val="clear" w:fill="FFFFFF"/>
        </w:rPr>
        <w:t> Average Price of Milk per Liter (₹)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0"/>
        <w:gridCol w:w="1320"/>
        <w:gridCol w:w="1320"/>
        <w:gridCol w:w="1320"/>
        <w:gridCol w:w="1320"/>
        <w:gridCol w:w="1321"/>
        <w:gridCol w:w="1321"/>
      </w:tblGrid>
      <w:tr w14:paraId="72508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dxa"/>
          </w:tcPr>
          <w:p w14:paraId="537B593B">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Sr. No.</w:t>
            </w:r>
          </w:p>
        </w:tc>
        <w:tc>
          <w:tcPr>
            <w:tcW w:w="1320" w:type="dxa"/>
          </w:tcPr>
          <w:p w14:paraId="17BA2EB3">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Options</w:t>
            </w:r>
          </w:p>
        </w:tc>
        <w:tc>
          <w:tcPr>
            <w:tcW w:w="1320" w:type="dxa"/>
          </w:tcPr>
          <w:p w14:paraId="0E84AF3A">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Oi</w:t>
            </w:r>
          </w:p>
        </w:tc>
        <w:tc>
          <w:tcPr>
            <w:tcW w:w="1320" w:type="dxa"/>
          </w:tcPr>
          <w:p w14:paraId="5D6AEBEC">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Ei</w:t>
            </w:r>
          </w:p>
        </w:tc>
        <w:tc>
          <w:tcPr>
            <w:tcW w:w="1320" w:type="dxa"/>
          </w:tcPr>
          <w:p w14:paraId="488850B4">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Oi-Ei</w:t>
            </w:r>
          </w:p>
        </w:tc>
        <w:tc>
          <w:tcPr>
            <w:tcW w:w="1321" w:type="dxa"/>
          </w:tcPr>
          <w:p w14:paraId="34F43E6F">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b/>
                <w:bCs/>
                <w:lang w:val="en-US"/>
              </w:rPr>
              <w:t>(Oi-Ei)</w:t>
            </w:r>
            <w:r>
              <w:rPr>
                <w:b/>
                <w:bCs/>
                <w:vertAlign w:val="superscript"/>
                <w:lang w:val="en-US"/>
              </w:rPr>
              <w:t>2</w:t>
            </w:r>
          </w:p>
        </w:tc>
        <w:tc>
          <w:tcPr>
            <w:tcW w:w="1321" w:type="dxa"/>
          </w:tcPr>
          <w:p w14:paraId="4B02F220">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b/>
                <w:bCs/>
                <w:lang w:val="en-US"/>
              </w:rPr>
              <w:t>(Oi-Ei)</w:t>
            </w:r>
            <w:r>
              <w:rPr>
                <w:b/>
                <w:bCs/>
                <w:vertAlign w:val="superscript"/>
                <w:lang w:val="en-US"/>
              </w:rPr>
              <w:t>2</w:t>
            </w:r>
            <w:r>
              <w:rPr>
                <w:b/>
                <w:bCs/>
                <w:lang w:val="en-US"/>
              </w:rPr>
              <w:t>/Ei</w:t>
            </w:r>
          </w:p>
        </w:tc>
      </w:tr>
      <w:tr w14:paraId="29527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dxa"/>
          </w:tcPr>
          <w:p w14:paraId="7D7CD3CE">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1</w:t>
            </w:r>
          </w:p>
        </w:tc>
        <w:tc>
          <w:tcPr>
            <w:tcW w:w="1320" w:type="dxa"/>
          </w:tcPr>
          <w:p w14:paraId="054361C2">
            <w:pPr>
              <w:keepNext w:val="0"/>
              <w:keepLines w:val="0"/>
              <w:widowControl/>
              <w:suppressLineNumbers w:val="0"/>
              <w:pBdr>
                <w:top w:val="none" w:color="auto" w:sz="0" w:space="0"/>
                <w:bottom w:val="none" w:color="auto" w:sz="0" w:space="0"/>
              </w:pBdr>
              <w:shd w:val="clear" w:fill="FFFFFF"/>
              <w:spacing w:before="144" w:beforeAutospacing="0" w:after="144" w:afterAutospacing="0"/>
              <w:ind w:left="158"/>
              <w:jc w:val="left"/>
              <w:rPr>
                <w:rFonts w:hint="default" w:ascii="Calibri" w:hAnsi="Calibri" w:eastAsia="docs-Roboto" w:cs="Calibri"/>
                <w:b/>
                <w:bCs/>
                <w:i w:val="0"/>
                <w:iCs w:val="0"/>
                <w:caps w:val="0"/>
                <w:color w:val="1F1F1F"/>
                <w:spacing w:val="0"/>
                <w:sz w:val="24"/>
                <w:szCs w:val="24"/>
                <w:shd w:val="clear" w:fill="FFFFFF"/>
                <w:vertAlign w:val="baseline"/>
                <w:lang w:val="en-IN"/>
              </w:rPr>
            </w:pPr>
            <w:r>
              <w:rPr>
                <w:rFonts w:ascii="Arial" w:hAnsi="Arial" w:eastAsia="Arial" w:cs="Arial"/>
                <w:spacing w:val="2"/>
                <w:kern w:val="0"/>
                <w:sz w:val="20"/>
                <w:szCs w:val="20"/>
                <w:shd w:val="clear" w:fill="FFFFFF"/>
                <w:lang w:val="en-US" w:eastAsia="zh-CN" w:bidi="ar"/>
                <w14:ligatures w14:val="standardContextual"/>
              </w:rPr>
              <w:t>₹40–₹50</w:t>
            </w:r>
          </w:p>
        </w:tc>
        <w:tc>
          <w:tcPr>
            <w:tcW w:w="1320" w:type="dxa"/>
          </w:tcPr>
          <w:p w14:paraId="245D8F7A">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23</w:t>
            </w:r>
          </w:p>
        </w:tc>
        <w:tc>
          <w:tcPr>
            <w:tcW w:w="1320" w:type="dxa"/>
          </w:tcPr>
          <w:p w14:paraId="284F7B9F">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13</w:t>
            </w:r>
          </w:p>
        </w:tc>
        <w:tc>
          <w:tcPr>
            <w:tcW w:w="1320" w:type="dxa"/>
          </w:tcPr>
          <w:p w14:paraId="27CF45D5">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10</w:t>
            </w:r>
          </w:p>
        </w:tc>
        <w:tc>
          <w:tcPr>
            <w:tcW w:w="1321" w:type="dxa"/>
          </w:tcPr>
          <w:p w14:paraId="589FEB0F">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100</w:t>
            </w:r>
          </w:p>
        </w:tc>
        <w:tc>
          <w:tcPr>
            <w:tcW w:w="1321" w:type="dxa"/>
          </w:tcPr>
          <w:p w14:paraId="49F0DB06">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7.69</w:t>
            </w:r>
          </w:p>
        </w:tc>
      </w:tr>
      <w:tr w14:paraId="26470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dxa"/>
          </w:tcPr>
          <w:p w14:paraId="176262C6">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2</w:t>
            </w:r>
          </w:p>
        </w:tc>
        <w:tc>
          <w:tcPr>
            <w:tcW w:w="1320" w:type="dxa"/>
          </w:tcPr>
          <w:p w14:paraId="4F829892">
            <w:pPr>
              <w:keepNext w:val="0"/>
              <w:keepLines w:val="0"/>
              <w:widowControl/>
              <w:suppressLineNumbers w:val="0"/>
              <w:pBdr>
                <w:top w:val="none" w:color="auto" w:sz="0" w:space="0"/>
                <w:bottom w:val="none" w:color="auto" w:sz="0" w:space="0"/>
              </w:pBdr>
              <w:shd w:val="clear" w:fill="FFFFFF"/>
              <w:spacing w:before="144" w:beforeAutospacing="0" w:after="144" w:afterAutospacing="0"/>
              <w:ind w:left="158"/>
              <w:jc w:val="left"/>
              <w:rPr>
                <w:rFonts w:hint="default" w:ascii="Calibri" w:hAnsi="Calibri" w:eastAsia="docs-Roboto" w:cs="Calibri"/>
                <w:b/>
                <w:bCs/>
                <w:i w:val="0"/>
                <w:iCs w:val="0"/>
                <w:caps w:val="0"/>
                <w:color w:val="1F1F1F"/>
                <w:spacing w:val="0"/>
                <w:sz w:val="24"/>
                <w:szCs w:val="24"/>
                <w:shd w:val="clear" w:fill="FFFFFF"/>
                <w:vertAlign w:val="baseline"/>
                <w:lang w:val="en-IN"/>
              </w:rPr>
            </w:pPr>
            <w:r>
              <w:rPr>
                <w:rFonts w:ascii="Arial" w:hAnsi="Arial" w:eastAsia="Arial" w:cs="Arial"/>
                <w:spacing w:val="2"/>
                <w:kern w:val="0"/>
                <w:sz w:val="20"/>
                <w:szCs w:val="20"/>
                <w:shd w:val="clear" w:fill="FFFFFF"/>
                <w:lang w:val="en-US" w:eastAsia="zh-CN" w:bidi="ar"/>
                <w14:ligatures w14:val="standardContextual"/>
              </w:rPr>
              <w:t>₹51–₹60</w:t>
            </w:r>
          </w:p>
        </w:tc>
        <w:tc>
          <w:tcPr>
            <w:tcW w:w="1320" w:type="dxa"/>
          </w:tcPr>
          <w:p w14:paraId="1F045471">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17</w:t>
            </w:r>
          </w:p>
        </w:tc>
        <w:tc>
          <w:tcPr>
            <w:tcW w:w="1320" w:type="dxa"/>
          </w:tcPr>
          <w:p w14:paraId="30327876">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13</w:t>
            </w:r>
          </w:p>
        </w:tc>
        <w:tc>
          <w:tcPr>
            <w:tcW w:w="1320" w:type="dxa"/>
          </w:tcPr>
          <w:p w14:paraId="562BDCEF">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4</w:t>
            </w:r>
          </w:p>
        </w:tc>
        <w:tc>
          <w:tcPr>
            <w:tcW w:w="1321" w:type="dxa"/>
          </w:tcPr>
          <w:p w14:paraId="27B3393A">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16</w:t>
            </w:r>
          </w:p>
        </w:tc>
        <w:tc>
          <w:tcPr>
            <w:tcW w:w="1321" w:type="dxa"/>
          </w:tcPr>
          <w:p w14:paraId="62D45587">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1.23</w:t>
            </w:r>
          </w:p>
        </w:tc>
      </w:tr>
      <w:tr w14:paraId="48034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dxa"/>
          </w:tcPr>
          <w:p w14:paraId="43037B41">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3</w:t>
            </w:r>
          </w:p>
        </w:tc>
        <w:tc>
          <w:tcPr>
            <w:tcW w:w="1320" w:type="dxa"/>
          </w:tcPr>
          <w:p w14:paraId="78D7C9C7">
            <w:pPr>
              <w:keepNext w:val="0"/>
              <w:keepLines w:val="0"/>
              <w:widowControl/>
              <w:suppressLineNumbers w:val="0"/>
              <w:pBdr>
                <w:top w:val="none" w:color="auto" w:sz="0" w:space="0"/>
                <w:bottom w:val="none" w:color="auto" w:sz="0" w:space="0"/>
              </w:pBdr>
              <w:shd w:val="clear" w:fill="FFFFFF"/>
              <w:spacing w:before="144" w:beforeAutospacing="0" w:after="144" w:afterAutospacing="0"/>
              <w:ind w:left="158"/>
              <w:jc w:val="left"/>
              <w:rPr>
                <w:rFonts w:hint="default" w:ascii="Calibri" w:hAnsi="Calibri" w:eastAsia="docs-Roboto" w:cs="Calibri"/>
                <w:b/>
                <w:bCs/>
                <w:i w:val="0"/>
                <w:iCs w:val="0"/>
                <w:caps w:val="0"/>
                <w:color w:val="1F1F1F"/>
                <w:spacing w:val="0"/>
                <w:sz w:val="24"/>
                <w:szCs w:val="24"/>
                <w:shd w:val="clear" w:fill="FFFFFF"/>
                <w:vertAlign w:val="baseline"/>
                <w:lang w:val="en-IN"/>
              </w:rPr>
            </w:pPr>
            <w:r>
              <w:rPr>
                <w:rFonts w:ascii="Arial" w:hAnsi="Arial" w:eastAsia="Arial" w:cs="Arial"/>
                <w:spacing w:val="2"/>
                <w:kern w:val="0"/>
                <w:sz w:val="18"/>
                <w:szCs w:val="18"/>
                <w:shd w:val="clear" w:fill="FFFFFF"/>
                <w:lang w:val="en-US" w:eastAsia="zh-CN" w:bidi="ar"/>
                <w14:ligatures w14:val="standardContextual"/>
              </w:rPr>
              <w:t>Below ₹40</w:t>
            </w:r>
          </w:p>
        </w:tc>
        <w:tc>
          <w:tcPr>
            <w:tcW w:w="1320" w:type="dxa"/>
          </w:tcPr>
          <w:p w14:paraId="57228557">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7</w:t>
            </w:r>
          </w:p>
        </w:tc>
        <w:tc>
          <w:tcPr>
            <w:tcW w:w="1320" w:type="dxa"/>
          </w:tcPr>
          <w:p w14:paraId="4526A3F9">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13</w:t>
            </w:r>
          </w:p>
        </w:tc>
        <w:tc>
          <w:tcPr>
            <w:tcW w:w="1320" w:type="dxa"/>
          </w:tcPr>
          <w:p w14:paraId="220CFF2E">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-6</w:t>
            </w:r>
          </w:p>
        </w:tc>
        <w:tc>
          <w:tcPr>
            <w:tcW w:w="1321" w:type="dxa"/>
          </w:tcPr>
          <w:p w14:paraId="648C74FF">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36</w:t>
            </w:r>
          </w:p>
        </w:tc>
        <w:tc>
          <w:tcPr>
            <w:tcW w:w="1321" w:type="dxa"/>
          </w:tcPr>
          <w:p w14:paraId="6CC84FB8">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2.76</w:t>
            </w:r>
          </w:p>
        </w:tc>
      </w:tr>
      <w:tr w14:paraId="0C2F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dxa"/>
          </w:tcPr>
          <w:p w14:paraId="75D9D224">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4</w:t>
            </w:r>
          </w:p>
        </w:tc>
        <w:tc>
          <w:tcPr>
            <w:tcW w:w="1320" w:type="dxa"/>
          </w:tcPr>
          <w:p w14:paraId="2FF5C440">
            <w:pPr>
              <w:keepNext w:val="0"/>
              <w:keepLines w:val="0"/>
              <w:widowControl/>
              <w:suppressLineNumbers w:val="0"/>
              <w:pBdr>
                <w:top w:val="none" w:color="auto" w:sz="0" w:space="0"/>
                <w:bottom w:val="none" w:color="auto" w:sz="0" w:space="0"/>
              </w:pBdr>
              <w:shd w:val="clear" w:fill="FFFFFF"/>
              <w:spacing w:before="144" w:beforeAutospacing="0" w:after="144" w:afterAutospacing="0"/>
              <w:ind w:left="158" w:right="0" w:firstLine="0"/>
              <w:jc w:val="left"/>
              <w:rPr>
                <w:rFonts w:hint="default" w:ascii="Calibri" w:hAnsi="Calibri" w:eastAsia="docs-Roboto" w:cs="Calibri"/>
                <w:b/>
                <w:bCs/>
                <w:i w:val="0"/>
                <w:iCs w:val="0"/>
                <w:caps w:val="0"/>
                <w:color w:val="1F1F1F"/>
                <w:spacing w:val="0"/>
                <w:sz w:val="28"/>
                <w:szCs w:val="28"/>
                <w:shd w:val="clear" w:fill="FFFFFF"/>
                <w:vertAlign w:val="baseline"/>
                <w:lang w:val="en-IN"/>
              </w:rPr>
            </w:pPr>
            <w:r>
              <w:rPr>
                <w:rFonts w:ascii="Arial" w:hAnsi="Arial" w:eastAsia="Arial" w:cs="Arial"/>
                <w:i w:val="0"/>
                <w:iCs w:val="0"/>
                <w:caps w:val="0"/>
                <w:color w:val="000000"/>
                <w:spacing w:val="2"/>
                <w:kern w:val="0"/>
                <w:sz w:val="18"/>
                <w:szCs w:val="18"/>
                <w:shd w:val="clear" w:fill="FFFFFF"/>
                <w:lang w:val="en-US" w:eastAsia="zh-CN" w:bidi="ar"/>
                <w14:ligatures w14:val="standardContextual"/>
              </w:rPr>
              <w:t>Above ₹60</w:t>
            </w:r>
          </w:p>
        </w:tc>
        <w:tc>
          <w:tcPr>
            <w:tcW w:w="1320" w:type="dxa"/>
          </w:tcPr>
          <w:p w14:paraId="38FBF2E0">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5</w:t>
            </w:r>
          </w:p>
        </w:tc>
        <w:tc>
          <w:tcPr>
            <w:tcW w:w="1320" w:type="dxa"/>
          </w:tcPr>
          <w:p w14:paraId="6840439D">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13</w:t>
            </w:r>
          </w:p>
        </w:tc>
        <w:tc>
          <w:tcPr>
            <w:tcW w:w="1320" w:type="dxa"/>
          </w:tcPr>
          <w:p w14:paraId="7B80D816">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-8</w:t>
            </w:r>
          </w:p>
        </w:tc>
        <w:tc>
          <w:tcPr>
            <w:tcW w:w="1321" w:type="dxa"/>
          </w:tcPr>
          <w:p w14:paraId="00AB1725">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64</w:t>
            </w:r>
          </w:p>
        </w:tc>
        <w:tc>
          <w:tcPr>
            <w:tcW w:w="1321" w:type="dxa"/>
          </w:tcPr>
          <w:p w14:paraId="2546D44A">
            <w:pPr>
              <w:pStyle w:val="18"/>
              <w:keepNext w:val="0"/>
              <w:keepLines w:val="0"/>
              <w:widowControl/>
              <w:suppressLineNumbers w:val="0"/>
              <w:spacing w:beforeAutospacing="1"/>
              <w:rPr>
                <w:rFonts w:hint="default" w:ascii="Calibri" w:hAnsi="Calibri" w:eastAsia="docs-Roboto" w:cs="Calibri"/>
                <w:b w:val="0"/>
                <w:bCs w:val="0"/>
                <w:i w:val="0"/>
                <w:iCs w:val="0"/>
                <w:caps w:val="0"/>
                <w:color w:val="1F1F1F"/>
                <w:spacing w:val="0"/>
                <w:sz w:val="24"/>
                <w:szCs w:val="24"/>
                <w:shd w:val="clear" w:fill="FFFFFF"/>
                <w:vertAlign w:val="baseline"/>
                <w:lang w:val="en-IN"/>
              </w:rPr>
            </w:pPr>
            <w:r>
              <w:rPr>
                <w:rFonts w:hint="default" w:ascii="Calibri" w:hAnsi="Calibri" w:eastAsia="docs-Roboto" w:cs="Calibri"/>
                <w:b w:val="0"/>
                <w:bCs w:val="0"/>
                <w:i w:val="0"/>
                <w:iCs w:val="0"/>
                <w:caps w:val="0"/>
                <w:color w:val="1F1F1F"/>
                <w:spacing w:val="0"/>
                <w:sz w:val="24"/>
                <w:szCs w:val="24"/>
                <w:shd w:val="clear" w:fill="FFFFFF"/>
                <w:vertAlign w:val="baseline"/>
                <w:lang w:val="en-IN"/>
              </w:rPr>
              <w:t>4.92</w:t>
            </w:r>
          </w:p>
        </w:tc>
      </w:tr>
      <w:tr w14:paraId="4F7B1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0" w:type="dxa"/>
          </w:tcPr>
          <w:p w14:paraId="5AC7752C">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Total</w:t>
            </w:r>
          </w:p>
        </w:tc>
        <w:tc>
          <w:tcPr>
            <w:tcW w:w="1320" w:type="dxa"/>
          </w:tcPr>
          <w:p w14:paraId="149BD8E5">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p>
        </w:tc>
        <w:tc>
          <w:tcPr>
            <w:tcW w:w="1320" w:type="dxa"/>
          </w:tcPr>
          <w:p w14:paraId="44BAD7F7">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52</w:t>
            </w:r>
          </w:p>
        </w:tc>
        <w:tc>
          <w:tcPr>
            <w:tcW w:w="1320" w:type="dxa"/>
          </w:tcPr>
          <w:p w14:paraId="6ECBC6F9">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p>
        </w:tc>
        <w:tc>
          <w:tcPr>
            <w:tcW w:w="1320" w:type="dxa"/>
          </w:tcPr>
          <w:p w14:paraId="4DBE2A79">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p>
        </w:tc>
        <w:tc>
          <w:tcPr>
            <w:tcW w:w="1321" w:type="dxa"/>
          </w:tcPr>
          <w:p w14:paraId="324F7682">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p>
        </w:tc>
        <w:tc>
          <w:tcPr>
            <w:tcW w:w="1321" w:type="dxa"/>
          </w:tcPr>
          <w:p w14:paraId="55FB8FD0">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vertAlign w:val="baseline"/>
                <w:lang w:val="en-IN"/>
              </w:rPr>
            </w:pPr>
            <w:r>
              <w:rPr>
                <w:rFonts w:hint="default" w:ascii="Calibri" w:hAnsi="Calibri" w:eastAsia="docs-Roboto" w:cs="Calibri"/>
                <w:b/>
                <w:bCs/>
                <w:i w:val="0"/>
                <w:iCs w:val="0"/>
                <w:caps w:val="0"/>
                <w:color w:val="1F1F1F"/>
                <w:spacing w:val="0"/>
                <w:sz w:val="24"/>
                <w:szCs w:val="24"/>
                <w:shd w:val="clear" w:fill="FFFFFF"/>
                <w:vertAlign w:val="baseline"/>
                <w:lang w:val="en-IN"/>
              </w:rPr>
              <w:t>16.6</w:t>
            </w:r>
          </w:p>
        </w:tc>
      </w:tr>
    </w:tbl>
    <w:p w14:paraId="7BF50833">
      <w:pPr>
        <w:rPr>
          <w:rFonts w:cstheme="minorHAnsi"/>
          <w:lang w:val="en-US"/>
        </w:rPr>
      </w:pPr>
    </w:p>
    <w:p w14:paraId="7B5C2556">
      <w:pPr>
        <w:rPr>
          <w:rFonts w:hint="default"/>
          <w:b/>
          <w:bCs/>
          <w:lang w:val="en-IN"/>
        </w:rPr>
      </w:pPr>
      <w:r>
        <w:rPr>
          <w:rFonts w:cstheme="minorHAnsi"/>
          <w:lang w:val="en-US"/>
        </w:rPr>
        <w:t>€</w:t>
      </w:r>
      <w:r>
        <w:rPr>
          <w:b/>
          <w:bCs/>
          <w:lang w:val="en-US"/>
        </w:rPr>
        <w:t>(Oi-Ei)</w:t>
      </w:r>
      <w:r>
        <w:rPr>
          <w:b/>
          <w:bCs/>
          <w:vertAlign w:val="superscript"/>
          <w:lang w:val="en-US"/>
        </w:rPr>
        <w:t>2</w:t>
      </w:r>
      <w:r>
        <w:rPr>
          <w:b/>
          <w:bCs/>
          <w:lang w:val="en-US"/>
        </w:rPr>
        <w:t>/Ei = 1</w:t>
      </w:r>
      <w:r>
        <w:rPr>
          <w:rFonts w:hint="default"/>
          <w:b/>
          <w:bCs/>
          <w:lang w:val="en-IN"/>
        </w:rPr>
        <w:t>6.6</w:t>
      </w:r>
    </w:p>
    <w:p w14:paraId="4F9FCC71">
      <w:pPr>
        <w:rPr>
          <w:b/>
          <w:bCs/>
          <w:lang w:val="en-US"/>
        </w:rPr>
      </w:pPr>
      <w:r>
        <w:rPr>
          <w:b/>
          <w:bCs/>
          <w:lang w:val="en-US"/>
        </w:rPr>
        <w:t>Degree of Freedom is 5.991.</w:t>
      </w:r>
    </w:p>
    <w:p w14:paraId="4F164F26">
      <w:pPr>
        <w:rPr>
          <w:rFonts w:hint="default" w:ascii="Calibri" w:hAnsi="Calibri" w:eastAsia="docs-Roboto" w:cs="Calibri"/>
          <w:b/>
          <w:bCs/>
          <w:i w:val="0"/>
          <w:iCs w:val="0"/>
          <w:caps w:val="0"/>
          <w:color w:val="1F1F1F"/>
          <w:spacing w:val="0"/>
          <w:sz w:val="28"/>
          <w:szCs w:val="28"/>
          <w:shd w:val="clear" w:fill="FFFFFF"/>
          <w:lang w:val="en-IN"/>
        </w:rPr>
      </w:pPr>
      <w:r>
        <w:rPr>
          <w:b/>
          <w:bCs/>
          <w:lang w:val="en-US"/>
        </w:rPr>
        <w:t>Result = 1</w:t>
      </w:r>
      <w:r>
        <w:rPr>
          <w:rFonts w:hint="default"/>
          <w:b/>
          <w:bCs/>
          <w:lang w:val="en-IN"/>
        </w:rPr>
        <w:t>6</w:t>
      </w:r>
      <w:r>
        <w:rPr>
          <w:b/>
          <w:bCs/>
          <w:lang w:val="en-US"/>
        </w:rPr>
        <w:t>.</w:t>
      </w:r>
      <w:r>
        <w:rPr>
          <w:rFonts w:hint="default"/>
          <w:b/>
          <w:bCs/>
          <w:lang w:val="en-IN"/>
        </w:rPr>
        <w:t>6</w:t>
      </w:r>
      <w:r>
        <w:rPr>
          <w:b/>
          <w:bCs/>
          <w:lang w:val="en-US"/>
        </w:rPr>
        <w:t xml:space="preserve"> &gt; 5.991.</w:t>
      </w:r>
    </w:p>
    <w:p w14:paraId="62D7B712">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8"/>
          <w:szCs w:val="28"/>
          <w:shd w:val="clear" w:fill="FFFFFF"/>
          <w:lang w:val="en-IN"/>
        </w:rPr>
      </w:pPr>
    </w:p>
    <w:p w14:paraId="398C1BB7">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8"/>
          <w:szCs w:val="28"/>
          <w:shd w:val="clear" w:fill="FFFFFF"/>
          <w:lang w:val="en-IN"/>
        </w:rPr>
      </w:pPr>
    </w:p>
    <w:p w14:paraId="62567B12">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8"/>
          <w:szCs w:val="28"/>
          <w:shd w:val="clear" w:fill="FFFFFF"/>
          <w:lang w:val="en-IN"/>
        </w:rPr>
      </w:pPr>
    </w:p>
    <w:p w14:paraId="4618E5E5">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8"/>
          <w:szCs w:val="28"/>
          <w:shd w:val="clear" w:fill="FFFFFF"/>
          <w:lang w:val="en-IN"/>
        </w:rPr>
      </w:pPr>
    </w:p>
    <w:p w14:paraId="6CA486AA">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4"/>
          <w:szCs w:val="24"/>
          <w:shd w:val="clear" w:fill="FFFFFF"/>
          <w:lang w:val="en-IN"/>
        </w:rPr>
      </w:pPr>
      <w:r>
        <w:rPr>
          <w:rFonts w:hint="default" w:ascii="Calibri" w:hAnsi="Calibri" w:eastAsia="docs-Roboto" w:cs="Calibri"/>
          <w:b/>
          <w:bCs/>
          <w:i w:val="0"/>
          <w:iCs w:val="0"/>
          <w:caps w:val="0"/>
          <w:color w:val="1F1F1F"/>
          <w:spacing w:val="0"/>
          <w:sz w:val="28"/>
          <w:szCs w:val="28"/>
          <w:shd w:val="clear" w:fill="FFFFFF"/>
          <w:lang w:val="en-IN"/>
        </w:rPr>
        <w:t>Conclusion:</w:t>
      </w:r>
    </w:p>
    <w:p w14:paraId="595C3CF2">
      <w:pPr>
        <w:pStyle w:val="18"/>
        <w:keepNext w:val="0"/>
        <w:keepLines w:val="0"/>
        <w:widowControl/>
        <w:suppressLineNumbers w:val="0"/>
        <w:spacing w:beforeAutospacing="1"/>
        <w:rPr>
          <w:rFonts w:hint="default"/>
        </w:rPr>
      </w:pPr>
      <w:r>
        <w:rPr>
          <w:rFonts w:hint="default"/>
        </w:rPr>
        <w:t>The Milk Supply Area and Revenue Analysis Dashboard is a successful example of how data analysis can be used to enhance efficiency and effectiveness in dairy supply chain management. By collecting and analyzing the data related to milk procurement from different geographical regions, the study has been able to identify material differences in the quantity of milk supply as well as the differences in the pricing trends. The chi-square hypothesis test has further validated that these differences are statistically significant.</w:t>
      </w:r>
    </w:p>
    <w:p w14:paraId="620009C9">
      <w:pPr>
        <w:pStyle w:val="18"/>
        <w:keepNext w:val="0"/>
        <w:keepLines w:val="0"/>
        <w:widowControl/>
        <w:suppressLineNumbers w:val="0"/>
        <w:spacing w:beforeAutospacing="1"/>
        <w:rPr>
          <w:rFonts w:hint="default"/>
        </w:rPr>
      </w:pPr>
      <w:r>
        <w:rPr>
          <w:rFonts w:hint="default"/>
        </w:rPr>
        <w:t>The dashboard has been able to combine the data related to supply volume and revenue, which helps the user to understand the contribution, percentage, and performance of the different areas in an effective and interactive way.</w:t>
      </w:r>
    </w:p>
    <w:p w14:paraId="42AC05BB">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8"/>
          <w:szCs w:val="28"/>
          <w:shd w:val="clear" w:fill="FFFFFF"/>
          <w:lang w:val="en-IN"/>
        </w:rPr>
      </w:pPr>
    </w:p>
    <w:p w14:paraId="3D36FB1D">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8"/>
          <w:szCs w:val="28"/>
          <w:shd w:val="clear" w:fill="FFFFFF"/>
          <w:lang w:val="en-IN"/>
        </w:rPr>
      </w:pPr>
    </w:p>
    <w:p w14:paraId="38DABC7E">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8"/>
          <w:szCs w:val="28"/>
          <w:shd w:val="clear" w:fill="FFFFFF"/>
          <w:lang w:val="en-IN"/>
        </w:rPr>
      </w:pPr>
      <w:bookmarkStart w:id="0" w:name="_GoBack"/>
    </w:p>
    <w:bookmarkEnd w:id="0"/>
    <w:p w14:paraId="03C4FD13">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8"/>
          <w:szCs w:val="28"/>
          <w:shd w:val="clear" w:fill="FFFFFF"/>
          <w:lang w:val="en-IN"/>
        </w:rPr>
      </w:pPr>
    </w:p>
    <w:p w14:paraId="446DAD06">
      <w:pPr>
        <w:pStyle w:val="18"/>
        <w:keepNext w:val="0"/>
        <w:keepLines w:val="0"/>
        <w:widowControl/>
        <w:suppressLineNumbers w:val="0"/>
        <w:spacing w:beforeAutospacing="1"/>
        <w:rPr>
          <w:rFonts w:hint="default" w:ascii="Calibri" w:hAnsi="Calibri" w:eastAsia="docs-Roboto" w:cs="Calibri"/>
          <w:b/>
          <w:bCs/>
          <w:i w:val="0"/>
          <w:iCs w:val="0"/>
          <w:caps w:val="0"/>
          <w:color w:val="1F1F1F"/>
          <w:spacing w:val="0"/>
          <w:sz w:val="28"/>
          <w:szCs w:val="28"/>
          <w:shd w:val="clear" w:fill="FFFFFF"/>
          <w:lang w:val="en-IN"/>
        </w:rPr>
      </w:pPr>
      <w:r>
        <w:rPr>
          <w:rFonts w:hint="default" w:ascii="Calibri" w:hAnsi="Calibri" w:eastAsia="docs-Roboto" w:cs="Calibri"/>
          <w:b/>
          <w:bCs/>
          <w:i w:val="0"/>
          <w:iCs w:val="0"/>
          <w:caps w:val="0"/>
          <w:color w:val="1F1F1F"/>
          <w:spacing w:val="0"/>
          <w:sz w:val="28"/>
          <w:szCs w:val="28"/>
          <w:shd w:val="clear" w:fill="FFFFFF"/>
          <w:lang w:val="en-IN"/>
        </w:rPr>
        <w:t>References:</w:t>
      </w:r>
    </w:p>
    <w:p w14:paraId="7A7CD1E9">
      <w:pPr>
        <w:pStyle w:val="18"/>
        <w:keepNext w:val="0"/>
        <w:keepLines w:val="0"/>
        <w:widowControl/>
        <w:numPr>
          <w:ilvl w:val="0"/>
          <w:numId w:val="0"/>
        </w:numPr>
        <w:suppressLineNumbers w:val="0"/>
        <w:spacing w:beforeAutospacing="1"/>
        <w:rPr>
          <w:rFonts w:hint="default"/>
          <w:lang w:val="en-IN"/>
        </w:rPr>
      </w:pPr>
      <w:r>
        <w:rPr>
          <w:rFonts w:hint="default"/>
          <w:lang w:val="en-IN"/>
        </w:rPr>
        <w:t>1.Data Science for Business - Foster Provost &amp; Tom Fawcett, O’ Reilly Media,2013. (Concepts of data -driven decision making and business analytic )</w:t>
      </w:r>
    </w:p>
    <w:p w14:paraId="34088CB4">
      <w:pPr>
        <w:pStyle w:val="18"/>
        <w:keepNext w:val="0"/>
        <w:keepLines w:val="0"/>
        <w:widowControl/>
        <w:numPr>
          <w:ilvl w:val="0"/>
          <w:numId w:val="0"/>
        </w:numPr>
        <w:suppressLineNumbers w:val="0"/>
        <w:spacing w:beforeAutospacing="1"/>
        <w:rPr>
          <w:rFonts w:hint="default"/>
          <w:lang w:val="en-IN"/>
        </w:rPr>
      </w:pPr>
      <w:r>
        <w:rPr>
          <w:rFonts w:hint="default"/>
          <w:lang w:val="en-IN"/>
        </w:rPr>
        <w:t>2.Storytelling with Data - Cole Nussbaumer  Knaflic , Wiley,2015.                                   ( Data Visualization and dashboard design principles.)</w:t>
      </w:r>
    </w:p>
    <w:p w14:paraId="577616FA">
      <w:pPr>
        <w:pStyle w:val="18"/>
        <w:keepNext w:val="0"/>
        <w:keepLines w:val="0"/>
        <w:widowControl/>
        <w:numPr>
          <w:ilvl w:val="0"/>
          <w:numId w:val="0"/>
        </w:numPr>
        <w:suppressLineNumbers w:val="0"/>
        <w:spacing w:beforeAutospacing="1"/>
        <w:rPr>
          <w:rFonts w:hint="default"/>
          <w:lang w:val="en-IN"/>
        </w:rPr>
      </w:pPr>
      <w:r>
        <w:rPr>
          <w:rFonts w:hint="default"/>
          <w:lang w:val="en-IN"/>
        </w:rPr>
        <w:t>3.Business Intelligence Guidebook - Rich Sherman , Morgan Kaufmaan ,2014.           ( Business Intelligence and dashboard implementation concepts.)</w:t>
      </w:r>
    </w:p>
    <w:p w14:paraId="7EC57254">
      <w:pPr>
        <w:pStyle w:val="18"/>
        <w:keepNext w:val="0"/>
        <w:keepLines w:val="0"/>
        <w:widowControl/>
        <w:numPr>
          <w:ilvl w:val="0"/>
          <w:numId w:val="0"/>
        </w:numPr>
        <w:suppressLineNumbers w:val="0"/>
        <w:spacing w:beforeAutospacing="1"/>
        <w:rPr>
          <w:rFonts w:hint="default"/>
          <w:lang w:val="en-IN"/>
        </w:rPr>
      </w:pPr>
      <w:r>
        <w:rPr>
          <w:rFonts w:hint="default"/>
          <w:lang w:val="en-IN"/>
        </w:rPr>
        <w:t>4.National Dairy Development Board - Official reports and Dairy Statistics , Government of India.  ( Milk Protection and Supply data references )</w:t>
      </w:r>
    </w:p>
    <w:p w14:paraId="7FA7E6CE">
      <w:pPr>
        <w:pStyle w:val="18"/>
        <w:keepNext w:val="0"/>
        <w:keepLines w:val="0"/>
        <w:widowControl/>
        <w:numPr>
          <w:ilvl w:val="0"/>
          <w:numId w:val="0"/>
        </w:numPr>
        <w:suppressLineNumbers w:val="0"/>
        <w:spacing w:beforeAutospacing="1"/>
        <w:rPr>
          <w:rFonts w:hint="default"/>
          <w:lang w:val="en-IN"/>
        </w:rPr>
      </w:pPr>
      <w:r>
        <w:rPr>
          <w:rFonts w:hint="default"/>
          <w:lang w:val="en-IN"/>
        </w:rPr>
        <w:t>5.Food and Agriculture Organization (FAO), Dairy Market Review Reports.                        ( Global Dairy production and revenue insights )</w:t>
      </w:r>
    </w:p>
    <w:p w14:paraId="2DFF2E45">
      <w:pPr>
        <w:pStyle w:val="18"/>
        <w:keepNext w:val="0"/>
        <w:keepLines w:val="0"/>
        <w:widowControl/>
        <w:numPr>
          <w:ilvl w:val="0"/>
          <w:numId w:val="0"/>
        </w:numPr>
        <w:suppressLineNumbers w:val="0"/>
        <w:spacing w:beforeAutospacing="1"/>
        <w:rPr>
          <w:rFonts w:hint="default" w:ascii="Times New Roman" w:hAnsi="Times New Roman" w:cs="Times New Roman"/>
          <w:lang w:val="en-IN"/>
        </w:rPr>
      </w:pPr>
      <w:r>
        <w:rPr>
          <w:rFonts w:hint="default"/>
          <w:lang w:val="en-IN"/>
        </w:rPr>
        <w:t>6.Microsoft Power BI Documentation - Microsoft Learn.                                                      (For Dashboard Development and data Visualization technique .)</w:t>
      </w:r>
    </w:p>
    <w:sectPr>
      <w:headerReference r:id="rId5" w:type="default"/>
      <w:pgSz w:w="11906" w:h="16838"/>
      <w:pgMar w:top="1440" w:right="1440" w:bottom="1440" w:left="1440" w:header="737"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angal">
    <w:altName w:val="Segoe Print"/>
    <w:panose1 w:val="00000400000000000000"/>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docs-Roboto">
    <w:altName w:val="Segoe Print"/>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Microsoft YaHei">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FDF1EB">
    <w:pPr>
      <w:spacing w:before="8" w:line="237" w:lineRule="auto"/>
      <w:ind w:left="1749" w:right="147" w:firstLine="367"/>
      <w:jc w:val="center"/>
      <w:rPr>
        <w:b/>
        <w:sz w:val="36"/>
      </w:rPr>
    </w:pPr>
    <w:r>
      <w:rPr>
        <w:sz w:val="20"/>
        <w:lang w:bidi="mr-IN"/>
      </w:rPr>
      <w:drawing>
        <wp:anchor distT="0" distB="0" distL="0" distR="0" simplePos="0" relativeHeight="251659264" behindDoc="1" locked="0" layoutInCell="1" allowOverlap="1">
          <wp:simplePos x="0" y="0"/>
          <wp:positionH relativeFrom="page">
            <wp:posOffset>151765</wp:posOffset>
          </wp:positionH>
          <wp:positionV relativeFrom="page">
            <wp:posOffset>514350</wp:posOffset>
          </wp:positionV>
          <wp:extent cx="1416050" cy="1031240"/>
          <wp:effectExtent l="0" t="0" r="1270" b="508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416050" cy="1031240"/>
                  </a:xfrm>
                  <a:prstGeom prst="rect">
                    <a:avLst/>
                  </a:prstGeom>
                </pic:spPr>
              </pic:pic>
            </a:graphicData>
          </a:graphic>
        </wp:anchor>
      </w:drawing>
    </w:r>
    <w:r>
      <w:rPr>
        <w:b/>
        <w:color w:val="805F00"/>
        <w:sz w:val="36"/>
      </w:rPr>
      <w:t>International Journal of Convergent Technologies</w:t>
    </w:r>
    <w:r>
      <w:rPr>
        <w:b/>
        <w:color w:val="805F00"/>
        <w:spacing w:val="-16"/>
        <w:sz w:val="36"/>
      </w:rPr>
      <w:t xml:space="preserve"> </w:t>
    </w:r>
    <w:r>
      <w:rPr>
        <w:b/>
        <w:color w:val="805F00"/>
        <w:sz w:val="36"/>
      </w:rPr>
      <w:t>and</w:t>
    </w:r>
    <w:r>
      <w:rPr>
        <w:b/>
        <w:color w:val="805F00"/>
        <w:spacing w:val="-12"/>
        <w:sz w:val="36"/>
      </w:rPr>
      <w:t xml:space="preserve"> </w:t>
    </w:r>
    <w:r>
      <w:rPr>
        <w:b/>
        <w:color w:val="805F00"/>
        <w:sz w:val="36"/>
      </w:rPr>
      <w:t>Future</w:t>
    </w:r>
    <w:r>
      <w:rPr>
        <w:b/>
        <w:color w:val="805F00"/>
        <w:spacing w:val="-14"/>
        <w:sz w:val="36"/>
      </w:rPr>
      <w:t xml:space="preserve"> </w:t>
    </w:r>
    <w:r>
      <w:rPr>
        <w:b/>
        <w:color w:val="805F00"/>
        <w:sz w:val="36"/>
      </w:rPr>
      <w:t>Systems</w:t>
    </w:r>
    <w:r>
      <w:rPr>
        <w:b/>
        <w:color w:val="805F00"/>
        <w:spacing w:val="-15"/>
        <w:sz w:val="36"/>
      </w:rPr>
      <w:t xml:space="preserve"> </w:t>
    </w:r>
    <w:r>
      <w:rPr>
        <w:b/>
        <w:color w:val="805F00"/>
        <w:sz w:val="36"/>
      </w:rPr>
      <w:t>(IJCTFS)</w:t>
    </w:r>
  </w:p>
  <w:p w14:paraId="188098CA">
    <w:pPr>
      <w:pStyle w:val="13"/>
      <w:spacing w:before="11" w:line="247" w:lineRule="auto"/>
      <w:ind w:left="1187" w:right="1200" w:firstLine="1"/>
      <w:jc w:val="center"/>
    </w:pPr>
    <w:r>
      <w:rPr>
        <w:w w:val="105"/>
      </w:rPr>
      <w:t>Website: https://</w:t>
    </w:r>
    <w:r>
      <w:fldChar w:fldCharType="begin"/>
    </w:r>
    <w:r>
      <w:instrText xml:space="preserve"> HYPERLINK "http://www.maulikavyanshufoundation.org/IJCTFS/index.php" \h </w:instrText>
    </w:r>
    <w:r>
      <w:fldChar w:fldCharType="separate"/>
    </w:r>
    <w:r>
      <w:rPr>
        <w:w w:val="105"/>
      </w:rPr>
      <w:t>www.maulikavyanshufoundation.org/IJCTFS/index.php</w:t>
    </w:r>
    <w:r>
      <w:rPr>
        <w:w w:val="105"/>
      </w:rPr>
      <w:fldChar w:fldCharType="end"/>
    </w:r>
    <w:r>
      <w:rPr>
        <w:w w:val="105"/>
      </w:rPr>
      <w:t xml:space="preserve"> </w:t>
    </w:r>
    <w:r>
      <w:t>Email:</w:t>
    </w:r>
    <w:r>
      <w:rPr>
        <w:spacing w:val="40"/>
      </w:rPr>
      <w:t xml:space="preserve"> </w:t>
    </w:r>
    <w:r>
      <w:fldChar w:fldCharType="begin"/>
    </w:r>
    <w:r>
      <w:instrText xml:space="preserve"> HYPERLINK "mailto:maulikavyanshuijctfs@gmail.com" \h </w:instrText>
    </w:r>
    <w:r>
      <w:fldChar w:fldCharType="separate"/>
    </w:r>
    <w:r>
      <w:rPr>
        <w:color w:val="0000FF"/>
        <w:u w:val="single" w:color="0000FF"/>
      </w:rPr>
      <w:t>maulikavyanshuijctfs@gmail.com</w:t>
    </w:r>
    <w:r>
      <w:rPr>
        <w:color w:val="0000FF"/>
        <w:u w:val="single" w:color="0000FF"/>
      </w:rPr>
      <w:fldChar w:fldCharType="end"/>
    </w:r>
    <w:r>
      <w:rPr>
        <w:color w:val="0000FF"/>
        <w:spacing w:val="40"/>
      </w:rPr>
      <w:t xml:space="preserve"> </w:t>
    </w:r>
    <w:r>
      <w:t>|</w:t>
    </w:r>
    <w:r>
      <w:rPr>
        <w:spacing w:val="35"/>
        <w:sz w:val="24"/>
        <w:szCs w:val="24"/>
      </w:rPr>
      <w:t xml:space="preserve"> ISSN No: 3108-1312</w:t>
    </w:r>
    <w:r>
      <w:fldChar w:fldCharType="begin"/>
    </w:r>
    <w:r>
      <w:instrText xml:space="preserve"> HYPERLINK "mailto:kavyanshufoundation@gmail.com" \h </w:instrText>
    </w:r>
    <w:r>
      <w:fldChar w:fldCharType="separate"/>
    </w:r>
    <w:r>
      <w:fldChar w:fldCharType="end"/>
    </w:r>
  </w:p>
  <w:p w14:paraId="53335479">
    <w:pPr>
      <w:pStyle w:val="16"/>
      <w:jc w:val="center"/>
    </w:pPr>
    <w:r>
      <w:rPr>
        <w:b/>
        <w:sz w:val="23"/>
        <w:u w:val="single"/>
      </w:rPr>
      <w:t>Research</w:t>
    </w:r>
    <w:r>
      <w:rPr>
        <w:b/>
        <w:spacing w:val="25"/>
        <w:sz w:val="23"/>
        <w:u w:val="single"/>
      </w:rPr>
      <w:t xml:space="preserve"> </w:t>
    </w:r>
    <w:r>
      <w:rPr>
        <w:b/>
        <w:sz w:val="23"/>
        <w:u w:val="single"/>
      </w:rPr>
      <w:t>Today,</w:t>
    </w:r>
    <w:r>
      <w:rPr>
        <w:b/>
        <w:spacing w:val="39"/>
        <w:sz w:val="23"/>
        <w:u w:val="single"/>
      </w:rPr>
      <w:t xml:space="preserve"> </w:t>
    </w:r>
    <w:r>
      <w:rPr>
        <w:b/>
        <w:sz w:val="23"/>
        <w:u w:val="single"/>
      </w:rPr>
      <w:t>Future</w:t>
    </w:r>
    <w:r>
      <w:rPr>
        <w:b/>
        <w:spacing w:val="33"/>
        <w:sz w:val="23"/>
        <w:u w:val="single"/>
      </w:rPr>
      <w:t xml:space="preserve"> </w:t>
    </w:r>
    <w:r>
      <w:rPr>
        <w:b/>
        <w:sz w:val="23"/>
        <w:u w:val="single"/>
      </w:rPr>
      <w:t>Tomorrow</w:t>
    </w:r>
    <w:r>
      <w:rPr>
        <w:b/>
        <w:spacing w:val="42"/>
        <w:sz w:val="23"/>
        <w:u w:val="single"/>
      </w:rPr>
      <w:t xml:space="preserve"> </w:t>
    </w:r>
    <w:r>
      <w:rPr>
        <w:b/>
        <w:sz w:val="23"/>
        <w:u w:val="single"/>
      </w:rPr>
      <w:t>Volume</w:t>
    </w:r>
    <w:r>
      <w:rPr>
        <w:b/>
        <w:spacing w:val="33"/>
        <w:sz w:val="23"/>
        <w:u w:val="single"/>
      </w:rPr>
      <w:t xml:space="preserve"> </w:t>
    </w:r>
    <w:r>
      <w:rPr>
        <w:b/>
        <w:sz w:val="23"/>
        <w:u w:val="single"/>
      </w:rPr>
      <w:t>02</w:t>
    </w:r>
    <w:r>
      <w:rPr>
        <w:b/>
        <w:spacing w:val="35"/>
        <w:sz w:val="23"/>
        <w:u w:val="single"/>
      </w:rPr>
      <w:t xml:space="preserve"> </w:t>
    </w:r>
    <w:r>
      <w:rPr>
        <w:b/>
        <w:sz w:val="23"/>
        <w:u w:val="single"/>
      </w:rPr>
      <w:t>Issue-01</w:t>
    </w:r>
    <w:r>
      <w:rPr>
        <w:b/>
        <w:spacing w:val="36"/>
        <w:sz w:val="23"/>
        <w:u w:val="single"/>
      </w:rPr>
      <w:t xml:space="preserve"> </w:t>
    </w:r>
    <w:r>
      <w:rPr>
        <w:b/>
        <w:sz w:val="23"/>
        <w:u w:val="single"/>
      </w:rPr>
      <w:t>January-February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798B0B"/>
    <w:multiLevelType w:val="singleLevel"/>
    <w:tmpl w:val="CE798B0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5BB"/>
    <w:rsid w:val="003D514A"/>
    <w:rsid w:val="006542D3"/>
    <w:rsid w:val="006E6EEF"/>
    <w:rsid w:val="009555BB"/>
    <w:rsid w:val="00A46BA3"/>
    <w:rsid w:val="00BE4A05"/>
    <w:rsid w:val="03986AE4"/>
    <w:rsid w:val="0635503F"/>
    <w:rsid w:val="0B310FFA"/>
    <w:rsid w:val="0BCF786E"/>
    <w:rsid w:val="117B44A3"/>
    <w:rsid w:val="11D03592"/>
    <w:rsid w:val="19D176BA"/>
    <w:rsid w:val="1FBA251E"/>
    <w:rsid w:val="23B74027"/>
    <w:rsid w:val="24E9569E"/>
    <w:rsid w:val="24F775A2"/>
    <w:rsid w:val="32134DB6"/>
    <w:rsid w:val="327B34E1"/>
    <w:rsid w:val="394079FC"/>
    <w:rsid w:val="3ED53826"/>
    <w:rsid w:val="40D432EC"/>
    <w:rsid w:val="43395FD9"/>
    <w:rsid w:val="4603646C"/>
    <w:rsid w:val="48CC68FF"/>
    <w:rsid w:val="4A0639FF"/>
    <w:rsid w:val="4B2B33EA"/>
    <w:rsid w:val="4B32706E"/>
    <w:rsid w:val="4D3010B2"/>
    <w:rsid w:val="525A582C"/>
    <w:rsid w:val="52C54EDB"/>
    <w:rsid w:val="5523023E"/>
    <w:rsid w:val="5B171E89"/>
    <w:rsid w:val="60F51E4C"/>
    <w:rsid w:val="61E66CAD"/>
    <w:rsid w:val="66B56591"/>
    <w:rsid w:val="6B180D44"/>
    <w:rsid w:val="6B5E3084"/>
    <w:rsid w:val="6F904BDE"/>
    <w:rsid w:val="703A6DAC"/>
    <w:rsid w:val="70AE4B6D"/>
    <w:rsid w:val="770819D9"/>
    <w:rsid w:val="77615627"/>
    <w:rsid w:val="79101DAE"/>
    <w:rsid w:val="79620FB5"/>
    <w:rsid w:val="797265CF"/>
    <w:rsid w:val="7A392B15"/>
    <w:rsid w:val="7D165542"/>
  </w:rsids>
  <m:mathPr>
    <m:mathFont m:val="Cambria Math"/>
    <m:brkBin m:val="before"/>
    <m:brkBinSub m:val="--"/>
    <m:smallFrac m:val="0"/>
    <m:dispDef/>
    <m:lMargin m:val="0"/>
    <m:rMargin m:val="0"/>
    <m:defJc m:val="centerGroup"/>
    <m:wrapIndent m:val="1440"/>
    <m:intLim m:val="subSup"/>
    <m:naryLim m:val="undOvr"/>
  </m:mathPr>
  <w:themeFontLang w:val="en-IN" w:eastAsia="zh-CN" w:bidi="mr-I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1"/>
      <w:lang w:val="en-IN" w:eastAsia="en-US" w:bidi="mr-IN"/>
      <w14:ligatures w14:val="standardContextual"/>
    </w:rPr>
  </w:style>
  <w:style w:type="paragraph" w:styleId="2">
    <w:name w:val="heading 1"/>
    <w:basedOn w:val="1"/>
    <w:next w:val="1"/>
    <w:link w:val="23"/>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36"/>
    </w:rPr>
  </w:style>
  <w:style w:type="paragraph" w:styleId="3">
    <w:name w:val="heading 2"/>
    <w:basedOn w:val="1"/>
    <w:next w:val="1"/>
    <w:link w:val="24"/>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29"/>
    </w:rPr>
  </w:style>
  <w:style w:type="paragraph" w:styleId="4">
    <w:name w:val="heading 3"/>
    <w:basedOn w:val="1"/>
    <w:next w:val="1"/>
    <w:link w:val="25"/>
    <w:semiHidden/>
    <w:unhideWhenUsed/>
    <w:qFormat/>
    <w:uiPriority w:val="9"/>
    <w:pPr>
      <w:keepNext/>
      <w:keepLines/>
      <w:spacing w:before="160" w:after="80"/>
      <w:outlineLvl w:val="2"/>
    </w:pPr>
    <w:rPr>
      <w:rFonts w:eastAsiaTheme="majorEastAsia" w:cstheme="majorBidi"/>
      <w:color w:val="2F5597" w:themeColor="accent1" w:themeShade="BF"/>
      <w:sz w:val="28"/>
      <w:szCs w:val="25"/>
    </w:rPr>
  </w:style>
  <w:style w:type="paragraph" w:styleId="5">
    <w:name w:val="heading 4"/>
    <w:basedOn w:val="1"/>
    <w:next w:val="1"/>
    <w:link w:val="26"/>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7"/>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8"/>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9"/>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0"/>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31"/>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ody Text"/>
    <w:basedOn w:val="1"/>
    <w:qFormat/>
    <w:uiPriority w:val="1"/>
    <w:rPr>
      <w:sz w:val="23"/>
      <w:szCs w:val="23"/>
    </w:rPr>
  </w:style>
  <w:style w:type="character" w:styleId="14">
    <w:name w:val="Emphasis"/>
    <w:basedOn w:val="11"/>
    <w:qFormat/>
    <w:uiPriority w:val="20"/>
    <w:rPr>
      <w:i/>
      <w:iCs/>
    </w:rPr>
  </w:style>
  <w:style w:type="paragraph" w:styleId="15">
    <w:name w:val="footer"/>
    <w:basedOn w:val="1"/>
    <w:semiHidden/>
    <w:unhideWhenUsed/>
    <w:uiPriority w:val="99"/>
    <w:pPr>
      <w:tabs>
        <w:tab w:val="center" w:pos="4153"/>
        <w:tab w:val="right" w:pos="8306"/>
      </w:tabs>
      <w:snapToGrid w:val="0"/>
      <w:jc w:val="left"/>
    </w:pPr>
    <w:rPr>
      <w:sz w:val="18"/>
      <w:szCs w:val="18"/>
    </w:rPr>
  </w:style>
  <w:style w:type="paragraph" w:styleId="16">
    <w:name w:val="header"/>
    <w:basedOn w:val="1"/>
    <w:semiHidden/>
    <w:unhideWhenUsed/>
    <w:uiPriority w:val="99"/>
    <w:pPr>
      <w:tabs>
        <w:tab w:val="center" w:pos="4153"/>
        <w:tab w:val="right" w:pos="8306"/>
      </w:tabs>
      <w:snapToGrid w:val="0"/>
    </w:pPr>
    <w:rPr>
      <w:sz w:val="18"/>
      <w:szCs w:val="18"/>
    </w:rPr>
  </w:style>
  <w:style w:type="character" w:styleId="17">
    <w:name w:val="Hyperlink"/>
    <w:basedOn w:val="11"/>
    <w:unhideWhenUsed/>
    <w:qFormat/>
    <w:uiPriority w:val="99"/>
    <w:rPr>
      <w:color w:val="0563C1" w:themeColor="hyperlink"/>
      <w:u w:val="single"/>
      <w14:textFill>
        <w14:solidFill>
          <w14:schemeClr w14:val="hlink"/>
        </w14:solidFill>
      </w14:textFill>
    </w:rPr>
  </w:style>
  <w:style w:type="paragraph" w:styleId="18">
    <w:name w:val="Normal (Web)"/>
    <w:basedOn w:val="1"/>
    <w:semiHidden/>
    <w:unhideWhenUsed/>
    <w:qFormat/>
    <w:uiPriority w:val="99"/>
    <w:rPr>
      <w:rFonts w:ascii="Times New Roman" w:hAnsi="Times New Roman" w:cs="Times New Roman"/>
    </w:rPr>
  </w:style>
  <w:style w:type="character" w:styleId="19">
    <w:name w:val="Strong"/>
    <w:basedOn w:val="11"/>
    <w:qFormat/>
    <w:uiPriority w:val="22"/>
    <w:rPr>
      <w:b/>
      <w:bCs/>
    </w:rPr>
  </w:style>
  <w:style w:type="paragraph" w:styleId="20">
    <w:name w:val="Subtitle"/>
    <w:basedOn w:val="1"/>
    <w:next w:val="1"/>
    <w:link w:val="33"/>
    <w:qFormat/>
    <w:uiPriority w:val="11"/>
    <w:rPr>
      <w:rFonts w:eastAsiaTheme="majorEastAsia" w:cstheme="majorBidi"/>
      <w:color w:val="595959" w:themeColor="text1" w:themeTint="A6"/>
      <w:spacing w:val="15"/>
      <w:sz w:val="28"/>
      <w:szCs w:val="25"/>
      <w14:textFill>
        <w14:solidFill>
          <w14:schemeClr w14:val="tx1">
            <w14:lumMod w14:val="65000"/>
            <w14:lumOff w14:val="35000"/>
          </w14:schemeClr>
        </w14:solidFill>
      </w14:textFill>
    </w:rPr>
  </w:style>
  <w:style w:type="table" w:styleId="21">
    <w:name w:val="Table Grid"/>
    <w:basedOn w:val="12"/>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2">
    <w:name w:val="Title"/>
    <w:basedOn w:val="1"/>
    <w:next w:val="1"/>
    <w:link w:val="32"/>
    <w:qFormat/>
    <w:uiPriority w:val="10"/>
    <w:pPr>
      <w:spacing w:after="80" w:line="240" w:lineRule="auto"/>
      <w:contextualSpacing/>
    </w:pPr>
    <w:rPr>
      <w:rFonts w:asciiTheme="majorHAnsi" w:hAnsiTheme="majorHAnsi" w:eastAsiaTheme="majorEastAsia" w:cstheme="majorBidi"/>
      <w:spacing w:val="-10"/>
      <w:kern w:val="28"/>
      <w:sz w:val="56"/>
      <w:szCs w:val="50"/>
    </w:rPr>
  </w:style>
  <w:style w:type="character" w:customStyle="1" w:styleId="23">
    <w:name w:val="Heading 1 Char"/>
    <w:basedOn w:val="11"/>
    <w:link w:val="2"/>
    <w:qFormat/>
    <w:uiPriority w:val="9"/>
    <w:rPr>
      <w:rFonts w:asciiTheme="majorHAnsi" w:hAnsiTheme="majorHAnsi" w:eastAsiaTheme="majorEastAsia" w:cstheme="majorBidi"/>
      <w:color w:val="2F5597" w:themeColor="accent1" w:themeShade="BF"/>
      <w:sz w:val="40"/>
      <w:szCs w:val="36"/>
    </w:rPr>
  </w:style>
  <w:style w:type="character" w:customStyle="1" w:styleId="24">
    <w:name w:val="Heading 2 Char"/>
    <w:basedOn w:val="11"/>
    <w:link w:val="3"/>
    <w:semiHidden/>
    <w:qFormat/>
    <w:uiPriority w:val="9"/>
    <w:rPr>
      <w:rFonts w:asciiTheme="majorHAnsi" w:hAnsiTheme="majorHAnsi" w:eastAsiaTheme="majorEastAsia" w:cstheme="majorBidi"/>
      <w:color w:val="2F5597" w:themeColor="accent1" w:themeShade="BF"/>
      <w:sz w:val="32"/>
      <w:szCs w:val="29"/>
    </w:rPr>
  </w:style>
  <w:style w:type="character" w:customStyle="1" w:styleId="25">
    <w:name w:val="Heading 3 Char"/>
    <w:basedOn w:val="11"/>
    <w:link w:val="4"/>
    <w:semiHidden/>
    <w:qFormat/>
    <w:uiPriority w:val="9"/>
    <w:rPr>
      <w:rFonts w:eastAsiaTheme="majorEastAsia" w:cstheme="majorBidi"/>
      <w:color w:val="2F5597" w:themeColor="accent1" w:themeShade="BF"/>
      <w:sz w:val="28"/>
      <w:szCs w:val="25"/>
    </w:rPr>
  </w:style>
  <w:style w:type="character" w:customStyle="1" w:styleId="26">
    <w:name w:val="Heading 4 Char"/>
    <w:basedOn w:val="11"/>
    <w:link w:val="5"/>
    <w:semiHidden/>
    <w:qFormat/>
    <w:uiPriority w:val="9"/>
    <w:rPr>
      <w:rFonts w:eastAsiaTheme="majorEastAsia" w:cstheme="majorBidi"/>
      <w:i/>
      <w:iCs/>
      <w:color w:val="2F5597" w:themeColor="accent1" w:themeShade="BF"/>
    </w:rPr>
  </w:style>
  <w:style w:type="character" w:customStyle="1" w:styleId="27">
    <w:name w:val="Heading 5 Char"/>
    <w:basedOn w:val="11"/>
    <w:link w:val="6"/>
    <w:semiHidden/>
    <w:qFormat/>
    <w:uiPriority w:val="9"/>
    <w:rPr>
      <w:rFonts w:eastAsiaTheme="majorEastAsia" w:cstheme="majorBidi"/>
      <w:color w:val="2F5597" w:themeColor="accent1" w:themeShade="BF"/>
    </w:rPr>
  </w:style>
  <w:style w:type="character" w:customStyle="1" w:styleId="28">
    <w:name w:val="Heading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9">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0">
    <w:name w:val="Heading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31">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32">
    <w:name w:val="Title Char"/>
    <w:basedOn w:val="11"/>
    <w:link w:val="22"/>
    <w:qFormat/>
    <w:uiPriority w:val="10"/>
    <w:rPr>
      <w:rFonts w:asciiTheme="majorHAnsi" w:hAnsiTheme="majorHAnsi" w:eastAsiaTheme="majorEastAsia" w:cstheme="majorBidi"/>
      <w:spacing w:val="-10"/>
      <w:kern w:val="28"/>
      <w:sz w:val="56"/>
      <w:szCs w:val="50"/>
    </w:rPr>
  </w:style>
  <w:style w:type="character" w:customStyle="1" w:styleId="33">
    <w:name w:val="Subtitle Char"/>
    <w:basedOn w:val="11"/>
    <w:link w:val="20"/>
    <w:qFormat/>
    <w:uiPriority w:val="11"/>
    <w:rPr>
      <w:rFonts w:eastAsiaTheme="majorEastAsia" w:cstheme="majorBidi"/>
      <w:color w:val="595959" w:themeColor="text1" w:themeTint="A6"/>
      <w:spacing w:val="15"/>
      <w:sz w:val="28"/>
      <w:szCs w:val="25"/>
      <w14:textFill>
        <w14:solidFill>
          <w14:schemeClr w14:val="tx1">
            <w14:lumMod w14:val="65000"/>
            <w14:lumOff w14:val="35000"/>
          </w14:schemeClr>
        </w14:solidFill>
      </w14:textFill>
    </w:rPr>
  </w:style>
  <w:style w:type="paragraph" w:styleId="34">
    <w:name w:val="Quote"/>
    <w:basedOn w:val="1"/>
    <w:next w:val="1"/>
    <w:link w:val="35"/>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5">
    <w:name w:val="Quote Char"/>
    <w:basedOn w:val="11"/>
    <w:link w:val="34"/>
    <w:qFormat/>
    <w:uiPriority w:val="29"/>
    <w:rPr>
      <w:i/>
      <w:iCs/>
      <w:color w:val="404040" w:themeColor="text1" w:themeTint="BF"/>
      <w14:textFill>
        <w14:solidFill>
          <w14:schemeClr w14:val="tx1">
            <w14:lumMod w14:val="75000"/>
            <w14:lumOff w14:val="25000"/>
          </w14:schemeClr>
        </w14:solidFill>
      </w14:textFill>
    </w:rPr>
  </w:style>
  <w:style w:type="paragraph" w:styleId="36">
    <w:name w:val="List Paragraph"/>
    <w:basedOn w:val="1"/>
    <w:qFormat/>
    <w:uiPriority w:val="34"/>
    <w:pPr>
      <w:ind w:left="720"/>
      <w:contextualSpacing/>
    </w:pPr>
  </w:style>
  <w:style w:type="character" w:customStyle="1" w:styleId="37">
    <w:name w:val="Intense Emphasis"/>
    <w:basedOn w:val="11"/>
    <w:qFormat/>
    <w:uiPriority w:val="21"/>
    <w:rPr>
      <w:i/>
      <w:iCs/>
      <w:color w:val="2F5597" w:themeColor="accent1" w:themeShade="BF"/>
    </w:rPr>
  </w:style>
  <w:style w:type="paragraph" w:styleId="38">
    <w:name w:val="Intense Quote"/>
    <w:basedOn w:val="1"/>
    <w:next w:val="1"/>
    <w:link w:val="39"/>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9">
    <w:name w:val="Intense Quote Char"/>
    <w:basedOn w:val="11"/>
    <w:link w:val="38"/>
    <w:qFormat/>
    <w:uiPriority w:val="30"/>
    <w:rPr>
      <w:i/>
      <w:iCs/>
      <w:color w:val="2F5597" w:themeColor="accent1" w:themeShade="BF"/>
    </w:rPr>
  </w:style>
  <w:style w:type="character" w:customStyle="1" w:styleId="40">
    <w:name w:val="Intense Reference"/>
    <w:basedOn w:val="11"/>
    <w:qFormat/>
    <w:uiPriority w:val="32"/>
    <w:rPr>
      <w:b/>
      <w:bCs/>
      <w:smallCaps/>
      <w:color w:val="2F5597" w:themeColor="accent1" w:themeShade="BF"/>
      <w:spacing w:val="5"/>
    </w:rPr>
  </w:style>
  <w:style w:type="character" w:customStyle="1" w:styleId="41">
    <w:name w:val="Unresolved Mention"/>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diaap\AppData\Local\Packages\5319275A.WhatsAppDesktop_cv1g1gvanyjgm\LocalState\sessions\2E52877743ABA2B75D9DE21054C1DF4384E2B5BA\transfers\2026-04\pradny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en-US"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p>
      </c:txPr>
    </c:title>
    <c:autoTitleDeleted val="0"/>
    <c:plotArea>
      <c:layout>
        <c:manualLayout>
          <c:layoutTarget val="inner"/>
          <c:xMode val="edge"/>
          <c:yMode val="edge"/>
          <c:x val="0.202542261826759"/>
          <c:y val="0.161500449236299"/>
          <c:w val="0.731607915083213"/>
          <c:h val="0.544115004492363"/>
        </c:manualLayout>
      </c:layout>
      <c:barChart>
        <c:barDir val="bar"/>
        <c:grouping val="clustered"/>
        <c:varyColors val="0"/>
        <c:ser>
          <c:idx val="0"/>
          <c:order val="0"/>
          <c:tx>
            <c:strRef>
              <c:f>[pradnya.xlsx]Sheet1!$B$1</c:f>
              <c:strCache>
                <c:ptCount val="1"/>
                <c:pt idx="0">
                  <c:v>Daily Milk Supply (Liters)</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elete val="1"/>
          </c:dLbls>
          <c:cat>
            <c:strRef>
              <c:f>[pradnya.xlsx]Sheet1!$A$2:$A$6</c:f>
              <c:strCache>
                <c:ptCount val="5"/>
                <c:pt idx="0">
                  <c:v>Urban Area</c:v>
                </c:pt>
                <c:pt idx="1">
                  <c:v>Semi-Urban Area</c:v>
                </c:pt>
                <c:pt idx="2">
                  <c:v>Rural Area</c:v>
                </c:pt>
                <c:pt idx="3">
                  <c:v>Suburban Area</c:v>
                </c:pt>
                <c:pt idx="4">
                  <c:v>Remote Area</c:v>
                </c:pt>
              </c:strCache>
            </c:strRef>
          </c:cat>
          <c:val>
            <c:numRef>
              <c:f>[pradnya.xlsx]Sheet1!$B$2:$B$6</c:f>
              <c:numCache>
                <c:formatCode>#,##0</c:formatCode>
                <c:ptCount val="5"/>
                <c:pt idx="0">
                  <c:v>12000</c:v>
                </c:pt>
                <c:pt idx="1">
                  <c:v>8500</c:v>
                </c:pt>
                <c:pt idx="2">
                  <c:v>6000</c:v>
                </c:pt>
                <c:pt idx="3">
                  <c:v>7200</c:v>
                </c:pt>
                <c:pt idx="4">
                  <c:v>3500</c:v>
                </c:pt>
              </c:numCache>
            </c:numRef>
          </c:val>
        </c:ser>
        <c:ser>
          <c:idx val="1"/>
          <c:order val="1"/>
          <c:tx>
            <c:strRef>
              <c:f>[pradnya.xlsx]Sheet1!$C$1</c:f>
              <c:strCache>
                <c:ptCount val="1"/>
                <c:pt idx="0">
                  <c:v>Monthly Milk Supply (Liters)</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elete val="1"/>
          </c:dLbls>
          <c:cat>
            <c:strRef>
              <c:f>[pradnya.xlsx]Sheet1!$A$2:$A$6</c:f>
              <c:strCache>
                <c:ptCount val="5"/>
                <c:pt idx="0">
                  <c:v>Urban Area</c:v>
                </c:pt>
                <c:pt idx="1">
                  <c:v>Semi-Urban Area</c:v>
                </c:pt>
                <c:pt idx="2">
                  <c:v>Rural Area</c:v>
                </c:pt>
                <c:pt idx="3">
                  <c:v>Suburban Area</c:v>
                </c:pt>
                <c:pt idx="4">
                  <c:v>Remote Area</c:v>
                </c:pt>
              </c:strCache>
            </c:strRef>
          </c:cat>
          <c:val>
            <c:numRef>
              <c:f>[pradnya.xlsx]Sheet1!$C$2:$C$6</c:f>
              <c:numCache>
                <c:formatCode>#,##0</c:formatCode>
                <c:ptCount val="5"/>
                <c:pt idx="0">
                  <c:v>360000</c:v>
                </c:pt>
                <c:pt idx="1">
                  <c:v>255000</c:v>
                </c:pt>
                <c:pt idx="2">
                  <c:v>180000</c:v>
                </c:pt>
                <c:pt idx="3">
                  <c:v>216000</c:v>
                </c:pt>
                <c:pt idx="4">
                  <c:v>105000</c:v>
                </c:pt>
              </c:numCache>
            </c:numRef>
          </c:val>
        </c:ser>
        <c:ser>
          <c:idx val="2"/>
          <c:order val="2"/>
          <c:tx>
            <c:strRef>
              <c:f>[pradnya.xlsx]Sheet1!$D$1</c:f>
              <c:strCache>
                <c:ptCount val="1"/>
                <c:pt idx="0">
                  <c:v>Price per Liter (₹)</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elete val="1"/>
          </c:dLbls>
          <c:cat>
            <c:strRef>
              <c:f>[pradnya.xlsx]Sheet1!$A$2:$A$6</c:f>
              <c:strCache>
                <c:ptCount val="5"/>
                <c:pt idx="0">
                  <c:v>Urban Area</c:v>
                </c:pt>
                <c:pt idx="1">
                  <c:v>Semi-Urban Area</c:v>
                </c:pt>
                <c:pt idx="2">
                  <c:v>Rural Area</c:v>
                </c:pt>
                <c:pt idx="3">
                  <c:v>Suburban Area</c:v>
                </c:pt>
                <c:pt idx="4">
                  <c:v>Remote Area</c:v>
                </c:pt>
              </c:strCache>
            </c:strRef>
          </c:cat>
          <c:val>
            <c:numRef>
              <c:f>[pradnya.xlsx]Sheet1!$D$2:$D$6</c:f>
              <c:numCache>
                <c:formatCode>General</c:formatCode>
                <c:ptCount val="5"/>
                <c:pt idx="0">
                  <c:v>50</c:v>
                </c:pt>
                <c:pt idx="1">
                  <c:v>48</c:v>
                </c:pt>
                <c:pt idx="2">
                  <c:v>45</c:v>
                </c:pt>
                <c:pt idx="3">
                  <c:v>47</c:v>
                </c:pt>
                <c:pt idx="4">
                  <c:v>44</c:v>
                </c:pt>
              </c:numCache>
            </c:numRef>
          </c:val>
        </c:ser>
        <c:ser>
          <c:idx val="3"/>
          <c:order val="3"/>
          <c:tx>
            <c:strRef>
              <c:f>[pradnya.xlsx]Sheet1!$E$1</c:f>
              <c:strCache>
                <c:ptCount val="1"/>
                <c:pt idx="0">
                  <c:v>Monthly Revenue (₹)</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elete val="1"/>
          </c:dLbls>
          <c:cat>
            <c:strRef>
              <c:f>[pradnya.xlsx]Sheet1!$A$2:$A$6</c:f>
              <c:strCache>
                <c:ptCount val="5"/>
                <c:pt idx="0">
                  <c:v>Urban Area</c:v>
                </c:pt>
                <c:pt idx="1">
                  <c:v>Semi-Urban Area</c:v>
                </c:pt>
                <c:pt idx="2">
                  <c:v>Rural Area</c:v>
                </c:pt>
                <c:pt idx="3">
                  <c:v>Suburban Area</c:v>
                </c:pt>
                <c:pt idx="4">
                  <c:v>Remote Area</c:v>
                </c:pt>
              </c:strCache>
            </c:strRef>
          </c:cat>
          <c:val>
            <c:numRef>
              <c:f>[pradnya.xlsx]Sheet1!$E$2:$E$6</c:f>
              <c:numCache>
                <c:formatCode>#,##0</c:formatCode>
                <c:ptCount val="5"/>
                <c:pt idx="0">
                  <c:v>18000000</c:v>
                </c:pt>
                <c:pt idx="1">
                  <c:v>12240000</c:v>
                </c:pt>
                <c:pt idx="2">
                  <c:v>8100000</c:v>
                </c:pt>
                <c:pt idx="3">
                  <c:v>10152000</c:v>
                </c:pt>
                <c:pt idx="4">
                  <c:v>4620000</c:v>
                </c:pt>
              </c:numCache>
            </c:numRef>
          </c:val>
        </c:ser>
        <c:dLbls>
          <c:showLegendKey val="0"/>
          <c:showVal val="0"/>
          <c:showCatName val="0"/>
          <c:showSerName val="0"/>
          <c:showPercent val="0"/>
          <c:showBubbleSize val="0"/>
        </c:dLbls>
        <c:gapWidth val="115"/>
        <c:overlap val="-20"/>
        <c:axId val="256648831"/>
        <c:axId val="317791775"/>
      </c:barChart>
      <c:catAx>
        <c:axId val="256648831"/>
        <c:scaling>
          <c:orientation val="minMax"/>
        </c:scaling>
        <c:delete val="0"/>
        <c:axPos val="l"/>
        <c:numFmt formatCode="General" sourceLinked="1"/>
        <c:majorTickMark val="none"/>
        <c:minorTickMark val="none"/>
        <c:tickLblPos val="nextTo"/>
        <c:spPr>
          <a:noFill/>
          <a:ln w="12700" cap="flat" cmpd="sng" algn="ctr">
            <a:solidFill>
              <a:schemeClr val="lt1">
                <a:lumMod val="95000"/>
                <a:alpha val="54000"/>
              </a:schemeClr>
            </a:solidFill>
            <a:round/>
          </a:ln>
          <a:effectLst/>
        </c:spPr>
        <c:txPr>
          <a:bodyPr rot="-60000000" spcFirstLastPara="1" vertOverflow="ellipsis" vert="horz" wrap="square" anchor="ctr" anchorCtr="1"/>
          <a:lstStyle/>
          <a:p>
            <a:pPr>
              <a:defRPr lang="en-US" sz="900" b="0" i="0" u="none" strike="noStrike" kern="1200" baseline="0">
                <a:solidFill>
                  <a:schemeClr val="lt1">
                    <a:lumMod val="85000"/>
                  </a:schemeClr>
                </a:solidFill>
                <a:latin typeface="+mn-lt"/>
                <a:ea typeface="+mn-ea"/>
                <a:cs typeface="+mn-cs"/>
              </a:defRPr>
            </a:pPr>
          </a:p>
        </c:txPr>
        <c:crossAx val="317791775"/>
        <c:crosses val="autoZero"/>
        <c:auto val="1"/>
        <c:lblAlgn val="ctr"/>
        <c:lblOffset val="100"/>
        <c:noMultiLvlLbl val="0"/>
      </c:catAx>
      <c:valAx>
        <c:axId val="317791775"/>
        <c:scaling>
          <c:orientation val="minMax"/>
        </c:scaling>
        <c:delete val="0"/>
        <c:axPos val="b"/>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lt1">
                    <a:lumMod val="85000"/>
                  </a:schemeClr>
                </a:solidFill>
                <a:latin typeface="+mn-lt"/>
                <a:ea typeface="+mn-ea"/>
                <a:cs typeface="+mn-cs"/>
              </a:defRPr>
            </a:pPr>
          </a:p>
        </c:txPr>
        <c:crossAx val="25664883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lt1">
                  <a:lumMod val="85000"/>
                </a:schemeClr>
              </a:solidFill>
              <a:latin typeface="+mn-lt"/>
              <a:ea typeface="+mn-ea"/>
              <a:cs typeface="+mn-cs"/>
            </a:defRPr>
          </a:pPr>
        </a:p>
      </c:txPr>
    </c:legend>
    <c:plotVisOnly val="1"/>
    <c:dispBlanksAs val="gap"/>
    <c:showDLblsOverMax val="0"/>
    <c:extLst>
      <c:ext uri="{0b15fc19-7d7d-44ad-8c2d-2c3a37ce22c3}">
        <chartProps xmlns="https://web.wps.cn/et/2018/main" chartId="{fed72021-282b-4a85-a5df-09af97ccdf9e}"/>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lang="en-US"/>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2">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ize="5"/>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30</Words>
  <Characters>171</Characters>
  <Lines>1</Lines>
  <Paragraphs>1</Paragraphs>
  <TotalTime>2</TotalTime>
  <ScaleCrop>false</ScaleCrop>
  <LinksUpToDate>false</LinksUpToDate>
  <CharactersWithSpaces>200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2026-01-13T14:36:00Z</dcterms:created>
  <dc:creator>prandya patil</dc:creator>
  <cp:lastModifiedBy>pradnya Patil</cp:lastModifiedBy>
  <dcterms:modified xsi:type="dcterms:W3CDTF">2026-02-23T15:31:08Z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5fd624f7-7832-4d60-a006-9eb5d578b925</vt:lpwstr>
  </property>
  <property fmtid="{D5CDD505-2E9C-101B-9397-08002B2CF9AE}" pid="3" name="KSOProductBuildVer">
    <vt:lpwstr>1033-12.2.0.23196</vt:lpwstr>
  </property>
  <property fmtid="{D5CDD505-2E9C-101B-9397-08002B2CF9AE}" pid="4" name="ICV">
    <vt:lpwstr>477CCB3E9EFC47DEB9981501F3C35055_12</vt:lpwstr>
  </property>
</Properties>
</file>